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4FD0" w14:textId="64728855" w:rsidR="000517BD" w:rsidRPr="00B71CC2" w:rsidRDefault="0082195F" w:rsidP="000517BD">
      <w:pPr>
        <w:spacing w:after="0"/>
        <w:rPr>
          <w:rFonts w:ascii="Trebuchet MS" w:hAnsi="Trebuchet MS" w:cs="Arial"/>
          <w:b/>
          <w:bCs/>
          <w:sz w:val="28"/>
          <w:szCs w:val="28"/>
        </w:rPr>
      </w:pPr>
      <w:r>
        <w:rPr>
          <w:rFonts w:ascii="Trebuchet MS" w:hAnsi="Trebuchet MS" w:cs="Arial"/>
          <w:b/>
          <w:bCs/>
          <w:sz w:val="28"/>
          <w:szCs w:val="28"/>
        </w:rPr>
        <w:t>Faster Accrual</w:t>
      </w:r>
    </w:p>
    <w:p w14:paraId="14DDB6C3" w14:textId="139BE2E7" w:rsidR="000517BD" w:rsidRPr="00B71CC2" w:rsidRDefault="00A43ECB" w:rsidP="000517BD">
      <w:pPr>
        <w:spacing w:after="0"/>
        <w:rPr>
          <w:rFonts w:ascii="Trebuchet MS" w:hAnsi="Trebuchet MS" w:cs="Arial"/>
          <w:b/>
          <w:bCs/>
          <w:sz w:val="28"/>
          <w:szCs w:val="28"/>
        </w:rPr>
      </w:pPr>
      <w:r>
        <w:rPr>
          <w:rFonts w:ascii="Trebuchet MS" w:hAnsi="Trebuchet MS" w:cs="Arial"/>
          <w:b/>
          <w:bCs/>
          <w:sz w:val="28"/>
          <w:szCs w:val="28"/>
        </w:rPr>
        <w:t>April</w:t>
      </w:r>
      <w:r w:rsidR="0082195F">
        <w:rPr>
          <w:rFonts w:ascii="Trebuchet MS" w:hAnsi="Trebuchet MS" w:cs="Arial"/>
          <w:b/>
          <w:bCs/>
          <w:sz w:val="28"/>
          <w:szCs w:val="28"/>
        </w:rPr>
        <w:t xml:space="preserve"> 202</w:t>
      </w:r>
      <w:r w:rsidR="00503962">
        <w:rPr>
          <w:rFonts w:ascii="Trebuchet MS" w:hAnsi="Trebuchet MS" w:cs="Arial"/>
          <w:b/>
          <w:bCs/>
          <w:sz w:val="28"/>
          <w:szCs w:val="28"/>
        </w:rPr>
        <w:t>2</w:t>
      </w:r>
    </w:p>
    <w:p w14:paraId="49C77D40" w14:textId="77777777" w:rsidR="006A3C99" w:rsidRPr="00B71CC2" w:rsidRDefault="006A3C99" w:rsidP="000517BD">
      <w:pPr>
        <w:spacing w:after="0"/>
        <w:rPr>
          <w:rFonts w:ascii="Trebuchet MS" w:hAnsi="Trebuchet MS" w:cs="Arial"/>
          <w:b/>
          <w:bCs/>
          <w:sz w:val="24"/>
          <w:szCs w:val="24"/>
        </w:rPr>
      </w:pPr>
    </w:p>
    <w:p w14:paraId="49231538" w14:textId="77777777" w:rsidR="0082195F" w:rsidRDefault="0082195F" w:rsidP="0082195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Introduction</w:t>
      </w:r>
    </w:p>
    <w:p w14:paraId="189E4DA5" w14:textId="77777777" w:rsidR="0082195F" w:rsidRDefault="0082195F" w:rsidP="0082195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4B121B1"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Please note you need to be in pensionable service to make a flexibilities application.</w:t>
      </w:r>
    </w:p>
    <w:p w14:paraId="7E3E9086" w14:textId="48880C47" w:rsidR="0082195F"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 xml:space="preserve">In 2015 the career average scheme was introduced, along with new flexibility options, including Faster Accrual. As of </w:t>
      </w:r>
      <w:proofErr w:type="gramStart"/>
      <w:r w:rsidRPr="00EC5162">
        <w:rPr>
          <w:rFonts w:ascii="Trebuchet MS" w:hAnsi="Trebuchet MS" w:cs="Arial"/>
          <w:sz w:val="24"/>
          <w:szCs w:val="24"/>
        </w:rPr>
        <w:t>1 April 2022</w:t>
      </w:r>
      <w:proofErr w:type="gramEnd"/>
      <w:r w:rsidRPr="00EC5162">
        <w:rPr>
          <w:rFonts w:ascii="Trebuchet MS" w:hAnsi="Trebuchet MS" w:cs="Arial"/>
          <w:sz w:val="24"/>
          <w:szCs w:val="24"/>
        </w:rPr>
        <w:t xml:space="preserve"> all active members were moved to the career average scheme.</w:t>
      </w:r>
    </w:p>
    <w:p w14:paraId="5BFAA418" w14:textId="77777777" w:rsidR="00EC5162" w:rsidRDefault="00EC5162" w:rsidP="0082195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C6781FD" w14:textId="21EEA9F3" w:rsidR="0082195F" w:rsidRDefault="0082195F" w:rsidP="0082195F">
      <w:pPr>
        <w:widowControl w:val="0"/>
        <w:tabs>
          <w:tab w:val="left" w:pos="484"/>
        </w:tabs>
        <w:autoSpaceDE w:val="0"/>
        <w:autoSpaceDN w:val="0"/>
        <w:spacing w:after="0" w:line="240" w:lineRule="auto"/>
        <w:rPr>
          <w:rFonts w:ascii="Trebuchet MS" w:hAnsi="Trebuchet MS" w:cs="Arial"/>
          <w:sz w:val="24"/>
          <w:szCs w:val="24"/>
        </w:rPr>
      </w:pPr>
      <w:r w:rsidRPr="0082195F">
        <w:rPr>
          <w:rFonts w:ascii="Trebuchet MS" w:eastAsiaTheme="majorEastAsia" w:hAnsi="Trebuchet MS" w:cstheme="majorBidi"/>
          <w:b/>
          <w:bCs/>
          <w:color w:val="000000" w:themeColor="text1"/>
          <w:sz w:val="28"/>
        </w:rPr>
        <w:t>What is Faster Accrual?</w:t>
      </w:r>
    </w:p>
    <w:p w14:paraId="4FAE2DCC" w14:textId="77777777" w:rsidR="0082195F" w:rsidRDefault="0082195F" w:rsidP="0082195F">
      <w:pPr>
        <w:widowControl w:val="0"/>
        <w:tabs>
          <w:tab w:val="left" w:pos="484"/>
        </w:tabs>
        <w:autoSpaceDE w:val="0"/>
        <w:autoSpaceDN w:val="0"/>
        <w:spacing w:after="0" w:line="240" w:lineRule="auto"/>
        <w:rPr>
          <w:rFonts w:ascii="Trebuchet MS" w:hAnsi="Trebuchet MS" w:cs="Arial"/>
          <w:sz w:val="24"/>
          <w:szCs w:val="24"/>
        </w:rPr>
      </w:pPr>
    </w:p>
    <w:p w14:paraId="213730E5"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In career average, your pension builds up based on a standard rate of 1/57th of your pensionable earnings. You can elect to purchase a faster build-up, known as the accrual rate, by paying higher contributions. You’ve one month to make an election from when you join the career average scheme. Each Faster Accrual election lasts for a maximum of one year and ceases at the end of the Scheme year, which runs from 1 April to 31 March.</w:t>
      </w:r>
    </w:p>
    <w:p w14:paraId="5D5B8A3F"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p>
    <w:p w14:paraId="1BD3708D"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Subsequent elections must be received by Teachers’ Pensions by 31 March to cover the next Scheme year. Transition members who entered the career average scheme on 1 April 2015 will need to have elected before 30 April 2015 if they wish to purchase Faster Accrual for the Scheme year 1 April 2015 to 31 March 2016.</w:t>
      </w:r>
    </w:p>
    <w:p w14:paraId="199186A6"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p>
    <w:p w14:paraId="620CFF5D" w14:textId="7EE75555" w:rsidR="0082195F" w:rsidRDefault="00EC5162" w:rsidP="00EC5162">
      <w:pPr>
        <w:widowControl w:val="0"/>
        <w:tabs>
          <w:tab w:val="left" w:pos="484"/>
        </w:tabs>
        <w:autoSpaceDE w:val="0"/>
        <w:autoSpaceDN w:val="0"/>
        <w:spacing w:after="0" w:line="240" w:lineRule="auto"/>
        <w:rPr>
          <w:color w:val="585858"/>
          <w:w w:val="110"/>
        </w:rPr>
      </w:pPr>
      <w:r w:rsidRPr="00EC5162">
        <w:rPr>
          <w:rFonts w:ascii="Trebuchet MS" w:hAnsi="Trebuchet MS" w:cs="Arial"/>
          <w:sz w:val="24"/>
          <w:szCs w:val="24"/>
        </w:rPr>
        <w:t>The accrual rates a member can elect to purchase are: 1/55th, 1/50th or 1/45th</w:t>
      </w:r>
    </w:p>
    <w:p w14:paraId="1EF9D072" w14:textId="77777777" w:rsidR="00EC5162" w:rsidRDefault="00EC5162" w:rsidP="0082195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044930E2" w14:textId="0BC1A594" w:rsidR="0082195F" w:rsidRDefault="0082195F" w:rsidP="0082195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sidRPr="0082195F">
        <w:rPr>
          <w:rFonts w:ascii="Trebuchet MS" w:eastAsiaTheme="majorEastAsia" w:hAnsi="Trebuchet MS" w:cstheme="majorBidi"/>
          <w:b/>
          <w:bCs/>
          <w:color w:val="000000" w:themeColor="text1"/>
          <w:sz w:val="28"/>
        </w:rPr>
        <w:t>Examples of Faster Accrual</w:t>
      </w:r>
    </w:p>
    <w:p w14:paraId="1A1E6094" w14:textId="77777777" w:rsidR="0082195F" w:rsidRDefault="0082195F" w:rsidP="0082195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3553DD01" w14:textId="01782BCC" w:rsidR="0082195F" w:rsidRPr="0082195F" w:rsidRDefault="0082195F" w:rsidP="0082195F">
      <w:pPr>
        <w:widowControl w:val="0"/>
        <w:tabs>
          <w:tab w:val="left" w:pos="484"/>
        </w:tabs>
        <w:autoSpaceDE w:val="0"/>
        <w:autoSpaceDN w:val="0"/>
        <w:spacing w:after="0" w:line="240" w:lineRule="auto"/>
        <w:rPr>
          <w:rFonts w:ascii="Trebuchet MS" w:hAnsi="Trebuchet MS" w:cs="Arial"/>
          <w:sz w:val="24"/>
          <w:szCs w:val="24"/>
        </w:rPr>
      </w:pPr>
      <w:r w:rsidRPr="0082195F">
        <w:rPr>
          <w:rFonts w:ascii="Trebuchet MS" w:hAnsi="Trebuchet MS" w:cs="Arial"/>
          <w:sz w:val="24"/>
          <w:szCs w:val="24"/>
        </w:rPr>
        <w:t xml:space="preserve">Dianne – a </w:t>
      </w:r>
      <w:r w:rsidR="00EC5162">
        <w:rPr>
          <w:rFonts w:ascii="Trebuchet MS" w:hAnsi="Trebuchet MS" w:cs="Arial"/>
          <w:sz w:val="24"/>
          <w:szCs w:val="24"/>
        </w:rPr>
        <w:t>career average member</w:t>
      </w:r>
      <w:r w:rsidRPr="0082195F">
        <w:rPr>
          <w:rFonts w:ascii="Trebuchet MS" w:hAnsi="Trebuchet MS" w:cs="Arial"/>
          <w:sz w:val="24"/>
          <w:szCs w:val="24"/>
        </w:rPr>
        <w:t>, will be aged 39 on 1 April 20</w:t>
      </w:r>
      <w:r w:rsidR="00EC5162">
        <w:rPr>
          <w:rFonts w:ascii="Trebuchet MS" w:hAnsi="Trebuchet MS" w:cs="Arial"/>
          <w:sz w:val="24"/>
          <w:szCs w:val="24"/>
        </w:rPr>
        <w:t>22</w:t>
      </w:r>
    </w:p>
    <w:p w14:paraId="0656BE05" w14:textId="77777777" w:rsidR="0082195F" w:rsidRPr="0082195F" w:rsidRDefault="0082195F" w:rsidP="0082195F">
      <w:pPr>
        <w:widowControl w:val="0"/>
        <w:tabs>
          <w:tab w:val="left" w:pos="484"/>
        </w:tabs>
        <w:autoSpaceDE w:val="0"/>
        <w:autoSpaceDN w:val="0"/>
        <w:spacing w:after="0" w:line="240" w:lineRule="auto"/>
        <w:rPr>
          <w:rFonts w:ascii="Trebuchet MS" w:hAnsi="Trebuchet MS" w:cs="Arial"/>
          <w:sz w:val="24"/>
          <w:szCs w:val="24"/>
        </w:rPr>
      </w:pPr>
    </w:p>
    <w:p w14:paraId="32461CC0" w14:textId="74F79E8E" w:rsidR="0082195F" w:rsidRPr="0082195F" w:rsidRDefault="0082195F" w:rsidP="0082195F">
      <w:pPr>
        <w:widowControl w:val="0"/>
        <w:tabs>
          <w:tab w:val="left" w:pos="484"/>
        </w:tabs>
        <w:autoSpaceDE w:val="0"/>
        <w:autoSpaceDN w:val="0"/>
        <w:spacing w:after="0" w:line="240" w:lineRule="auto"/>
        <w:rPr>
          <w:rFonts w:ascii="Trebuchet MS" w:hAnsi="Trebuchet MS" w:cs="Arial"/>
          <w:sz w:val="24"/>
          <w:szCs w:val="24"/>
        </w:rPr>
      </w:pPr>
      <w:r w:rsidRPr="0082195F">
        <w:rPr>
          <w:rFonts w:ascii="Trebuchet MS" w:hAnsi="Trebuchet MS" w:cs="Arial"/>
          <w:sz w:val="24"/>
          <w:szCs w:val="24"/>
        </w:rPr>
        <w:t xml:space="preserve"> Earnings for 1 April 20</w:t>
      </w:r>
      <w:r w:rsidR="00EC5162">
        <w:rPr>
          <w:rFonts w:ascii="Trebuchet MS" w:hAnsi="Trebuchet MS" w:cs="Arial"/>
          <w:sz w:val="24"/>
          <w:szCs w:val="24"/>
        </w:rPr>
        <w:t>22</w:t>
      </w:r>
      <w:r w:rsidRPr="0082195F">
        <w:rPr>
          <w:rFonts w:ascii="Trebuchet MS" w:hAnsi="Trebuchet MS" w:cs="Arial"/>
          <w:sz w:val="24"/>
          <w:szCs w:val="24"/>
        </w:rPr>
        <w:t xml:space="preserve"> -31 March 20</w:t>
      </w:r>
      <w:r w:rsidR="00EC5162">
        <w:rPr>
          <w:rFonts w:ascii="Trebuchet MS" w:hAnsi="Trebuchet MS" w:cs="Arial"/>
          <w:sz w:val="24"/>
          <w:szCs w:val="24"/>
        </w:rPr>
        <w:t>23</w:t>
      </w:r>
      <w:r w:rsidRPr="0082195F">
        <w:rPr>
          <w:rFonts w:ascii="Trebuchet MS" w:hAnsi="Trebuchet MS" w:cs="Arial"/>
          <w:sz w:val="24"/>
          <w:szCs w:val="24"/>
        </w:rPr>
        <w:t xml:space="preserve"> are £30,000 </w:t>
      </w:r>
    </w:p>
    <w:p w14:paraId="445B0B22" w14:textId="77777777" w:rsidR="0082195F" w:rsidRPr="0082195F" w:rsidRDefault="0082195F" w:rsidP="0082195F">
      <w:pPr>
        <w:widowControl w:val="0"/>
        <w:tabs>
          <w:tab w:val="left" w:pos="484"/>
        </w:tabs>
        <w:autoSpaceDE w:val="0"/>
        <w:autoSpaceDN w:val="0"/>
        <w:spacing w:after="0" w:line="240" w:lineRule="auto"/>
        <w:rPr>
          <w:rFonts w:ascii="Trebuchet MS" w:hAnsi="Trebuchet MS" w:cs="Arial"/>
          <w:sz w:val="24"/>
          <w:szCs w:val="24"/>
        </w:rPr>
      </w:pPr>
    </w:p>
    <w:p w14:paraId="568759E2" w14:textId="5347D9CB" w:rsidR="0082195F" w:rsidRPr="0082195F" w:rsidRDefault="0082195F" w:rsidP="0082195F">
      <w:pPr>
        <w:widowControl w:val="0"/>
        <w:tabs>
          <w:tab w:val="left" w:pos="484"/>
        </w:tabs>
        <w:autoSpaceDE w:val="0"/>
        <w:autoSpaceDN w:val="0"/>
        <w:spacing w:after="0" w:line="240" w:lineRule="auto"/>
        <w:rPr>
          <w:rFonts w:ascii="Trebuchet MS" w:hAnsi="Trebuchet MS" w:cs="Arial"/>
          <w:sz w:val="24"/>
          <w:szCs w:val="24"/>
        </w:rPr>
      </w:pPr>
      <w:r w:rsidRPr="0082195F">
        <w:rPr>
          <w:rFonts w:ascii="Trebuchet MS" w:hAnsi="Trebuchet MS" w:cs="Arial"/>
          <w:sz w:val="24"/>
          <w:szCs w:val="24"/>
        </w:rPr>
        <w:t>Pension for the year will be £30,000</w:t>
      </w:r>
      <w:r w:rsidR="004F4842">
        <w:rPr>
          <w:rFonts w:ascii="Trebuchet MS" w:hAnsi="Trebuchet MS" w:cs="Arial"/>
          <w:sz w:val="24"/>
          <w:szCs w:val="24"/>
        </w:rPr>
        <w:t xml:space="preserve"> multiplied by</w:t>
      </w:r>
      <w:r w:rsidRPr="0082195F">
        <w:rPr>
          <w:rFonts w:ascii="Trebuchet MS" w:hAnsi="Trebuchet MS" w:cs="Arial"/>
          <w:sz w:val="24"/>
          <w:szCs w:val="24"/>
        </w:rPr>
        <w:t xml:space="preserve"> 1/57th = £526.31</w:t>
      </w:r>
    </w:p>
    <w:p w14:paraId="18BEA108" w14:textId="6434737D" w:rsidR="00805F55" w:rsidRDefault="00805F55" w:rsidP="00805F55">
      <w:pPr>
        <w:pStyle w:val="BodyText"/>
        <w:rPr>
          <w:rFonts w:ascii="Trebuchet MS" w:eastAsiaTheme="minorEastAsia" w:hAnsi="Trebuchet MS"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82195F" w14:paraId="0AF7595B" w14:textId="77777777" w:rsidTr="0082195F">
        <w:tc>
          <w:tcPr>
            <w:tcW w:w="2254" w:type="dxa"/>
          </w:tcPr>
          <w:p w14:paraId="20C0BB08" w14:textId="70ACB02A" w:rsidR="0082195F" w:rsidRPr="0082195F" w:rsidRDefault="0082195F" w:rsidP="00805F55">
            <w:pPr>
              <w:pStyle w:val="BodyText"/>
              <w:rPr>
                <w:rFonts w:ascii="Trebuchet MS" w:eastAsiaTheme="minorEastAsia" w:hAnsi="Trebuchet MS" w:cs="Arial"/>
                <w:b/>
                <w:bCs/>
                <w:sz w:val="24"/>
                <w:szCs w:val="24"/>
              </w:rPr>
            </w:pPr>
            <w:r w:rsidRPr="0082195F">
              <w:rPr>
                <w:rFonts w:ascii="Trebuchet MS" w:eastAsiaTheme="minorEastAsia" w:hAnsi="Trebuchet MS" w:cs="Arial"/>
                <w:b/>
                <w:bCs/>
                <w:sz w:val="24"/>
                <w:szCs w:val="24"/>
              </w:rPr>
              <w:t>Accrual Rate</w:t>
            </w:r>
          </w:p>
        </w:tc>
        <w:tc>
          <w:tcPr>
            <w:tcW w:w="2254" w:type="dxa"/>
          </w:tcPr>
          <w:p w14:paraId="1CD3D66F" w14:textId="39895332" w:rsidR="0082195F" w:rsidRPr="0082195F" w:rsidRDefault="0082195F" w:rsidP="00805F55">
            <w:pPr>
              <w:pStyle w:val="BodyText"/>
              <w:rPr>
                <w:rFonts w:ascii="Trebuchet MS" w:eastAsiaTheme="minorEastAsia" w:hAnsi="Trebuchet MS" w:cs="Arial"/>
                <w:b/>
                <w:bCs/>
                <w:sz w:val="24"/>
                <w:szCs w:val="24"/>
              </w:rPr>
            </w:pPr>
            <w:r w:rsidRPr="0082195F">
              <w:rPr>
                <w:rFonts w:ascii="Trebuchet MS" w:eastAsiaTheme="minorEastAsia" w:hAnsi="Trebuchet MS" w:cs="Arial"/>
                <w:b/>
                <w:bCs/>
                <w:sz w:val="24"/>
                <w:szCs w:val="24"/>
              </w:rPr>
              <w:t>Pension bought in one year</w:t>
            </w:r>
          </w:p>
        </w:tc>
        <w:tc>
          <w:tcPr>
            <w:tcW w:w="2254" w:type="dxa"/>
          </w:tcPr>
          <w:p w14:paraId="05D62077" w14:textId="5F3CA83F" w:rsidR="0082195F" w:rsidRPr="0082195F" w:rsidRDefault="0082195F" w:rsidP="00805F55">
            <w:pPr>
              <w:pStyle w:val="BodyText"/>
              <w:rPr>
                <w:rFonts w:ascii="Trebuchet MS" w:eastAsiaTheme="minorEastAsia" w:hAnsi="Trebuchet MS" w:cs="Arial"/>
                <w:b/>
                <w:bCs/>
                <w:sz w:val="24"/>
                <w:szCs w:val="24"/>
              </w:rPr>
            </w:pPr>
            <w:r w:rsidRPr="0082195F">
              <w:rPr>
                <w:rFonts w:ascii="Trebuchet MS" w:eastAsiaTheme="minorEastAsia" w:hAnsi="Trebuchet MS" w:cs="Arial"/>
                <w:b/>
                <w:bCs/>
                <w:sz w:val="24"/>
                <w:szCs w:val="24"/>
              </w:rPr>
              <w:t>Extra pension from higher accrual</w:t>
            </w:r>
          </w:p>
        </w:tc>
        <w:tc>
          <w:tcPr>
            <w:tcW w:w="2254" w:type="dxa"/>
          </w:tcPr>
          <w:p w14:paraId="02A83B4B" w14:textId="19FF259A" w:rsidR="0082195F" w:rsidRPr="0082195F" w:rsidRDefault="0082195F" w:rsidP="00805F55">
            <w:pPr>
              <w:pStyle w:val="BodyText"/>
              <w:rPr>
                <w:rFonts w:ascii="Trebuchet MS" w:eastAsiaTheme="minorEastAsia" w:hAnsi="Trebuchet MS" w:cs="Arial"/>
                <w:b/>
                <w:bCs/>
                <w:sz w:val="24"/>
                <w:szCs w:val="24"/>
              </w:rPr>
            </w:pPr>
            <w:r w:rsidRPr="0082195F">
              <w:rPr>
                <w:rFonts w:ascii="Trebuchet MS" w:eastAsiaTheme="minorEastAsia" w:hAnsi="Trebuchet MS" w:cs="Arial"/>
                <w:b/>
                <w:bCs/>
                <w:sz w:val="24"/>
                <w:szCs w:val="24"/>
              </w:rPr>
              <w:t>Additional contributions</w:t>
            </w:r>
          </w:p>
        </w:tc>
      </w:tr>
      <w:tr w:rsidR="0082195F" w14:paraId="283B347C" w14:textId="77777777" w:rsidTr="0082195F">
        <w:tc>
          <w:tcPr>
            <w:tcW w:w="2254" w:type="dxa"/>
          </w:tcPr>
          <w:p w14:paraId="4E2BB8E0" w14:textId="04CDA58A"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1/57</w:t>
            </w:r>
            <w:r w:rsidRPr="0082195F">
              <w:rPr>
                <w:rFonts w:ascii="Trebuchet MS" w:eastAsiaTheme="minorEastAsia" w:hAnsi="Trebuchet MS" w:cs="Arial"/>
                <w:sz w:val="24"/>
                <w:szCs w:val="24"/>
                <w:vertAlign w:val="superscript"/>
              </w:rPr>
              <w:t>th</w:t>
            </w:r>
            <w:r>
              <w:rPr>
                <w:rFonts w:ascii="Trebuchet MS" w:eastAsiaTheme="minorEastAsia" w:hAnsi="Trebuchet MS" w:cs="Arial"/>
                <w:sz w:val="24"/>
                <w:szCs w:val="24"/>
              </w:rPr>
              <w:t xml:space="preserve"> Standard</w:t>
            </w:r>
          </w:p>
        </w:tc>
        <w:tc>
          <w:tcPr>
            <w:tcW w:w="2254" w:type="dxa"/>
          </w:tcPr>
          <w:p w14:paraId="7E603869" w14:textId="149488F2"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£526.31</w:t>
            </w:r>
          </w:p>
        </w:tc>
        <w:tc>
          <w:tcPr>
            <w:tcW w:w="2254" w:type="dxa"/>
          </w:tcPr>
          <w:p w14:paraId="4C611D43" w14:textId="21566BAE"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44AC7CC4" w14:textId="0B6DBBCB"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w:t>
            </w:r>
          </w:p>
        </w:tc>
      </w:tr>
      <w:tr w:rsidR="0082195F" w14:paraId="5E93AA29" w14:textId="77777777" w:rsidTr="0082195F">
        <w:tc>
          <w:tcPr>
            <w:tcW w:w="2254" w:type="dxa"/>
          </w:tcPr>
          <w:p w14:paraId="02594541" w14:textId="0980A400"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1/55</w:t>
            </w:r>
            <w:r w:rsidRPr="0082195F">
              <w:rPr>
                <w:rFonts w:ascii="Trebuchet MS" w:eastAsiaTheme="minorEastAsia" w:hAnsi="Trebuchet MS" w:cs="Arial"/>
                <w:sz w:val="24"/>
                <w:szCs w:val="24"/>
                <w:vertAlign w:val="superscript"/>
              </w:rPr>
              <w:t>th</w:t>
            </w:r>
          </w:p>
        </w:tc>
        <w:tc>
          <w:tcPr>
            <w:tcW w:w="2254" w:type="dxa"/>
          </w:tcPr>
          <w:p w14:paraId="35C277AD" w14:textId="0993277C"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£545.45</w:t>
            </w:r>
          </w:p>
        </w:tc>
        <w:tc>
          <w:tcPr>
            <w:tcW w:w="2254" w:type="dxa"/>
          </w:tcPr>
          <w:p w14:paraId="0075F003" w14:textId="4E65554A"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£19.12</w:t>
            </w:r>
          </w:p>
        </w:tc>
        <w:tc>
          <w:tcPr>
            <w:tcW w:w="2254" w:type="dxa"/>
          </w:tcPr>
          <w:p w14:paraId="47854422" w14:textId="1339BB7B"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0.81% of pensionable earnings (£243)</w:t>
            </w:r>
          </w:p>
        </w:tc>
      </w:tr>
      <w:tr w:rsidR="0082195F" w14:paraId="33B35DDE" w14:textId="77777777" w:rsidTr="0082195F">
        <w:tc>
          <w:tcPr>
            <w:tcW w:w="2254" w:type="dxa"/>
          </w:tcPr>
          <w:p w14:paraId="61F3DC15" w14:textId="30C059FB"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1/50</w:t>
            </w:r>
            <w:r w:rsidRPr="0082195F">
              <w:rPr>
                <w:rFonts w:ascii="Trebuchet MS" w:eastAsiaTheme="minorEastAsia" w:hAnsi="Trebuchet MS" w:cs="Arial"/>
                <w:sz w:val="24"/>
                <w:szCs w:val="24"/>
                <w:vertAlign w:val="superscript"/>
              </w:rPr>
              <w:t>th</w:t>
            </w:r>
          </w:p>
        </w:tc>
        <w:tc>
          <w:tcPr>
            <w:tcW w:w="2254" w:type="dxa"/>
          </w:tcPr>
          <w:p w14:paraId="634EEEC3" w14:textId="02F5EEFE"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£600.00</w:t>
            </w:r>
          </w:p>
        </w:tc>
        <w:tc>
          <w:tcPr>
            <w:tcW w:w="2254" w:type="dxa"/>
          </w:tcPr>
          <w:p w14:paraId="662AA693" w14:textId="156E6B0A"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£73.69</w:t>
            </w:r>
          </w:p>
        </w:tc>
        <w:tc>
          <w:tcPr>
            <w:tcW w:w="2254" w:type="dxa"/>
          </w:tcPr>
          <w:p w14:paraId="0D453949" w14:textId="0B123753"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3.12% of pensionable earnings (£936)</w:t>
            </w:r>
          </w:p>
        </w:tc>
      </w:tr>
      <w:tr w:rsidR="0082195F" w14:paraId="117C124C" w14:textId="77777777" w:rsidTr="0082195F">
        <w:tc>
          <w:tcPr>
            <w:tcW w:w="2254" w:type="dxa"/>
          </w:tcPr>
          <w:p w14:paraId="0324D7E8" w14:textId="2C3305C7"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1/45</w:t>
            </w:r>
            <w:r w:rsidRPr="0082195F">
              <w:rPr>
                <w:rFonts w:ascii="Trebuchet MS" w:eastAsiaTheme="minorEastAsia" w:hAnsi="Trebuchet MS" w:cs="Arial"/>
                <w:sz w:val="24"/>
                <w:szCs w:val="24"/>
                <w:vertAlign w:val="superscript"/>
              </w:rPr>
              <w:t>th</w:t>
            </w:r>
          </w:p>
        </w:tc>
        <w:tc>
          <w:tcPr>
            <w:tcW w:w="2254" w:type="dxa"/>
          </w:tcPr>
          <w:p w14:paraId="377B92FC" w14:textId="09F2C73D"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£666.67</w:t>
            </w:r>
          </w:p>
        </w:tc>
        <w:tc>
          <w:tcPr>
            <w:tcW w:w="2254" w:type="dxa"/>
          </w:tcPr>
          <w:p w14:paraId="1AC28DC4" w14:textId="5FD864F9"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£140.36</w:t>
            </w:r>
          </w:p>
        </w:tc>
        <w:tc>
          <w:tcPr>
            <w:tcW w:w="2254" w:type="dxa"/>
          </w:tcPr>
          <w:p w14:paraId="34C555DF" w14:textId="49046FE2" w:rsidR="0082195F" w:rsidRDefault="0082195F" w:rsidP="00805F55">
            <w:pPr>
              <w:pStyle w:val="BodyText"/>
              <w:rPr>
                <w:rFonts w:ascii="Trebuchet MS" w:eastAsiaTheme="minorEastAsia" w:hAnsi="Trebuchet MS" w:cs="Arial"/>
                <w:sz w:val="24"/>
                <w:szCs w:val="24"/>
              </w:rPr>
            </w:pPr>
            <w:r>
              <w:rPr>
                <w:rFonts w:ascii="Trebuchet MS" w:eastAsiaTheme="minorEastAsia" w:hAnsi="Trebuchet MS" w:cs="Arial"/>
                <w:sz w:val="24"/>
                <w:szCs w:val="24"/>
              </w:rPr>
              <w:t>5.94% of pensionable earnings</w:t>
            </w:r>
          </w:p>
        </w:tc>
      </w:tr>
    </w:tbl>
    <w:p w14:paraId="3446F249" w14:textId="77777777" w:rsidR="007B032E" w:rsidRDefault="0082195F"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How is your Faster Accrual contribution calculated?</w:t>
      </w:r>
    </w:p>
    <w:p w14:paraId="74050B82"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736ECFA4" w14:textId="77777777" w:rsidR="007B032E" w:rsidRPr="007B032E" w:rsidRDefault="0082195F" w:rsidP="007B032E">
      <w:pPr>
        <w:widowControl w:val="0"/>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Accrual election, Teachers’ Pensions will look at:</w:t>
      </w:r>
    </w:p>
    <w:p w14:paraId="6CAAA182"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148383DC" w14:textId="1498F760" w:rsidR="007B032E" w:rsidRPr="007B032E" w:rsidRDefault="0082195F" w:rsidP="002751EB">
      <w:pPr>
        <w:pStyle w:val="ListParagraph"/>
        <w:widowControl w:val="0"/>
        <w:numPr>
          <w:ilvl w:val="0"/>
          <w:numId w:val="2"/>
        </w:numPr>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 xml:space="preserve">What was your age (last birthday, so whole years) when the election will take effect? e.g. The Scheme year runs from 1 April – 31 March. </w:t>
      </w:r>
      <w:proofErr w:type="gramStart"/>
      <w:r w:rsidRPr="007B032E">
        <w:rPr>
          <w:rFonts w:ascii="Trebuchet MS" w:hAnsi="Trebuchet MS" w:cs="Arial"/>
          <w:sz w:val="24"/>
          <w:szCs w:val="24"/>
        </w:rPr>
        <w:t>So</w:t>
      </w:r>
      <w:proofErr w:type="gramEnd"/>
      <w:r w:rsidRPr="007B032E">
        <w:rPr>
          <w:rFonts w:ascii="Trebuchet MS" w:hAnsi="Trebuchet MS" w:cs="Arial"/>
          <w:sz w:val="24"/>
          <w:szCs w:val="24"/>
        </w:rPr>
        <w:t xml:space="preserve"> for an election to run the whole Scheme year, what will the member’s age be on 1 April, 201</w:t>
      </w:r>
      <w:r w:rsidR="00EC5162">
        <w:rPr>
          <w:rFonts w:ascii="Trebuchet MS" w:hAnsi="Trebuchet MS" w:cs="Arial"/>
          <w:sz w:val="24"/>
          <w:szCs w:val="24"/>
        </w:rPr>
        <w:t>2</w:t>
      </w:r>
      <w:r w:rsidRPr="007B032E">
        <w:rPr>
          <w:rFonts w:ascii="Trebuchet MS" w:hAnsi="Trebuchet MS" w:cs="Arial"/>
          <w:sz w:val="24"/>
          <w:szCs w:val="24"/>
        </w:rPr>
        <w:t>?</w:t>
      </w:r>
    </w:p>
    <w:p w14:paraId="2E6C43C3" w14:textId="4B56D878" w:rsidR="007B032E" w:rsidRPr="007B032E" w:rsidRDefault="0082195F" w:rsidP="002751EB">
      <w:pPr>
        <w:pStyle w:val="ListParagraph"/>
        <w:widowControl w:val="0"/>
        <w:numPr>
          <w:ilvl w:val="0"/>
          <w:numId w:val="2"/>
        </w:numPr>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What Faster Accrual rate are you electing for?</w:t>
      </w:r>
      <w:r w:rsidR="007B032E" w:rsidRPr="007B032E">
        <w:rPr>
          <w:rFonts w:ascii="Trebuchet MS" w:hAnsi="Trebuchet MS" w:cs="Arial"/>
          <w:sz w:val="24"/>
          <w:szCs w:val="24"/>
        </w:rPr>
        <w:t xml:space="preserve"> </w:t>
      </w:r>
      <w:r w:rsidRPr="007B032E">
        <w:rPr>
          <w:rFonts w:ascii="Trebuchet MS" w:hAnsi="Trebuchet MS" w:cs="Arial"/>
          <w:sz w:val="24"/>
          <w:szCs w:val="24"/>
        </w:rPr>
        <w:t>– 1/55th, 1/50th or 1/45th? We’ll then use this information to determine your ‘Faster Accrual factor’ from the Faster Accrual tables.</w:t>
      </w:r>
    </w:p>
    <w:p w14:paraId="0534CB96"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b/>
          <w:bCs/>
          <w:sz w:val="24"/>
          <w:szCs w:val="24"/>
        </w:rPr>
      </w:pPr>
    </w:p>
    <w:p w14:paraId="5B19E470" w14:textId="6FBD0BE7" w:rsidR="007B032E" w:rsidRPr="007B032E" w:rsidRDefault="0082195F" w:rsidP="007B032E">
      <w:pPr>
        <w:widowControl w:val="0"/>
        <w:tabs>
          <w:tab w:val="left" w:pos="484"/>
        </w:tabs>
        <w:autoSpaceDE w:val="0"/>
        <w:autoSpaceDN w:val="0"/>
        <w:spacing w:after="0" w:line="240" w:lineRule="auto"/>
        <w:rPr>
          <w:rFonts w:ascii="Trebuchet MS" w:hAnsi="Trebuchet MS" w:cs="Arial"/>
          <w:b/>
          <w:bCs/>
          <w:sz w:val="24"/>
          <w:szCs w:val="24"/>
        </w:rPr>
      </w:pPr>
      <w:r w:rsidRPr="007B032E">
        <w:rPr>
          <w:rFonts w:ascii="Trebuchet MS" w:hAnsi="Trebuchet MS" w:cs="Arial"/>
          <w:b/>
          <w:bCs/>
          <w:sz w:val="24"/>
          <w:szCs w:val="24"/>
        </w:rPr>
        <w:t>For example</w:t>
      </w:r>
    </w:p>
    <w:p w14:paraId="427E9BC6"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02908ACC" w14:textId="619B914E" w:rsidR="0082195F" w:rsidRPr="007B032E" w:rsidRDefault="0082195F" w:rsidP="007B032E">
      <w:pPr>
        <w:widowControl w:val="0"/>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 xml:space="preserve">A member aged 24 years, taking 1/45th Faster Accrual will pay an additional </w:t>
      </w:r>
      <w:r w:rsidR="00EC5162">
        <w:rPr>
          <w:rFonts w:ascii="Trebuchet MS" w:hAnsi="Trebuchet MS" w:cs="Arial"/>
          <w:sz w:val="24"/>
          <w:szCs w:val="24"/>
        </w:rPr>
        <w:t>6.51</w:t>
      </w:r>
      <w:r w:rsidRPr="007B032E">
        <w:rPr>
          <w:rFonts w:ascii="Trebuchet MS" w:hAnsi="Trebuchet MS" w:cs="Arial"/>
          <w:sz w:val="24"/>
          <w:szCs w:val="24"/>
        </w:rPr>
        <w:t>% in contributions.</w:t>
      </w:r>
    </w:p>
    <w:p w14:paraId="548A89DF" w14:textId="77777777" w:rsidR="0082195F" w:rsidRDefault="0082195F" w:rsidP="008B0696">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2662991B"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What if you have also opted for the ‘Buy out’ flexibility?</w:t>
      </w:r>
    </w:p>
    <w:p w14:paraId="0236C293"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04D222A0"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If you’ve also taken out the ‘Buy Out’ flexibility we also include a factor for the Buy Out and add this to the contribution rate for the Faster Accrual election. (If you need further information on ‘Buy Out’ please refer to our flexibilities factsheet).</w:t>
      </w:r>
    </w:p>
    <w:p w14:paraId="3308C6E6"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0A0E0189"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b/>
          <w:bCs/>
          <w:sz w:val="24"/>
          <w:szCs w:val="24"/>
        </w:rPr>
      </w:pPr>
      <w:r w:rsidRPr="007B032E">
        <w:rPr>
          <w:rFonts w:ascii="Trebuchet MS" w:hAnsi="Trebuchet MS" w:cs="Arial"/>
          <w:b/>
          <w:bCs/>
          <w:sz w:val="24"/>
          <w:szCs w:val="24"/>
        </w:rPr>
        <w:t>For example</w:t>
      </w:r>
    </w:p>
    <w:p w14:paraId="5D4DB596"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75C8EA1F"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A member aged 24, with 3 years of Buy Out, taking 1/45th Faster Accrual. We’ll calculate the contribution rate as follows:</w:t>
      </w:r>
    </w:p>
    <w:p w14:paraId="37CA9794"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p>
    <w:p w14:paraId="7225ED64"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 xml:space="preserve">Factor for age and Faster Accrual rate + corresponding factor for Buy Out multiplied by the number of years the buy-out is for </w:t>
      </w:r>
      <w:proofErr w:type="gramStart"/>
      <w:r w:rsidRPr="00EC5162">
        <w:rPr>
          <w:rFonts w:ascii="Trebuchet MS" w:hAnsi="Trebuchet MS" w:cs="Arial"/>
          <w:sz w:val="24"/>
          <w:szCs w:val="24"/>
        </w:rPr>
        <w:t>In</w:t>
      </w:r>
      <w:proofErr w:type="gramEnd"/>
      <w:r w:rsidRPr="00EC5162">
        <w:rPr>
          <w:rFonts w:ascii="Trebuchet MS" w:hAnsi="Trebuchet MS" w:cs="Arial"/>
          <w:sz w:val="24"/>
          <w:szCs w:val="24"/>
        </w:rPr>
        <w:t xml:space="preserve"> this example the factor for a 1/45th Faster Accrual for a member aged 24 =</w:t>
      </w:r>
    </w:p>
    <w:p w14:paraId="3411135C"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6.51. The corresponding buy-out factor is 0.84, multiplied by 3 years = 2.52 The overall Faster Accrual contribution rate will be 6.51 x 2.52 =16.41</w:t>
      </w:r>
    </w:p>
    <w:p w14:paraId="0E2077FB"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p>
    <w:p w14:paraId="0EA79D92"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The member will pay additional contributions of 16.41 % on their pensionable earnings.</w:t>
      </w:r>
    </w:p>
    <w:p w14:paraId="4F54A528" w14:textId="77777777" w:rsidR="00EC5162" w:rsidRPr="00EC5162" w:rsidRDefault="00EC5162" w:rsidP="00EC5162">
      <w:pPr>
        <w:widowControl w:val="0"/>
        <w:tabs>
          <w:tab w:val="left" w:pos="484"/>
        </w:tabs>
        <w:autoSpaceDE w:val="0"/>
        <w:autoSpaceDN w:val="0"/>
        <w:spacing w:after="0" w:line="240" w:lineRule="auto"/>
        <w:rPr>
          <w:rFonts w:ascii="Trebuchet MS" w:hAnsi="Trebuchet MS" w:cs="Arial"/>
          <w:sz w:val="24"/>
          <w:szCs w:val="24"/>
        </w:rPr>
      </w:pPr>
    </w:p>
    <w:p w14:paraId="51D37FD6" w14:textId="2118DE5D" w:rsidR="007B032E" w:rsidRDefault="00EC5162" w:rsidP="00EC5162">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If your Buy Out isn’t in whole years (as your Normal Pension Age isn’t exactly 65, 66, 67 or 68), then we’ll simply use the number of years and months for which the Buy Out applies.</w:t>
      </w:r>
    </w:p>
    <w:p w14:paraId="521763EF" w14:textId="77777777" w:rsidR="00EC5162" w:rsidRPr="007B032E" w:rsidRDefault="00EC5162" w:rsidP="00EC5162">
      <w:pPr>
        <w:widowControl w:val="0"/>
        <w:tabs>
          <w:tab w:val="left" w:pos="484"/>
        </w:tabs>
        <w:autoSpaceDE w:val="0"/>
        <w:autoSpaceDN w:val="0"/>
        <w:spacing w:after="0" w:line="240" w:lineRule="auto"/>
        <w:rPr>
          <w:rFonts w:ascii="Trebuchet MS" w:hAnsi="Trebuchet MS" w:cs="Arial"/>
          <w:sz w:val="24"/>
          <w:szCs w:val="24"/>
        </w:rPr>
      </w:pPr>
    </w:p>
    <w:p w14:paraId="0C26911F"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b/>
          <w:bCs/>
          <w:sz w:val="24"/>
          <w:szCs w:val="24"/>
        </w:rPr>
      </w:pPr>
      <w:r w:rsidRPr="007B032E">
        <w:rPr>
          <w:rFonts w:ascii="Trebuchet MS" w:hAnsi="Trebuchet MS" w:cs="Arial"/>
          <w:b/>
          <w:bCs/>
          <w:sz w:val="24"/>
          <w:szCs w:val="24"/>
        </w:rPr>
        <w:t>For example</w:t>
      </w:r>
    </w:p>
    <w:p w14:paraId="36734E7B"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63DC99D4" w14:textId="5BF0D519" w:rsidR="007B032E" w:rsidRDefault="00EC5162" w:rsidP="007B032E">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A member aged 24, with 2 years and 2 months of buy-out, taking 1/45th Faster Accrual will pay an additional 6.51% + (</w:t>
      </w:r>
      <w:proofErr w:type="gramStart"/>
      <w:r w:rsidRPr="00EC5162">
        <w:rPr>
          <w:rFonts w:ascii="Trebuchet MS" w:hAnsi="Trebuchet MS" w:cs="Arial"/>
          <w:sz w:val="24"/>
          <w:szCs w:val="24"/>
        </w:rPr>
        <w:t>2 and 2/12 years</w:t>
      </w:r>
      <w:proofErr w:type="gramEnd"/>
      <w:r w:rsidRPr="00EC5162">
        <w:rPr>
          <w:rFonts w:ascii="Trebuchet MS" w:hAnsi="Trebuchet MS" w:cs="Arial"/>
          <w:sz w:val="24"/>
          <w:szCs w:val="24"/>
        </w:rPr>
        <w:t xml:space="preserve"> x 0.16). The member will pay a contribution rate of 6.83% (6.51% + 0.35%).</w:t>
      </w:r>
    </w:p>
    <w:p w14:paraId="412C0755" w14:textId="77777777" w:rsidR="00EC5162" w:rsidRDefault="00EC5162"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03305374" w14:textId="77777777" w:rsidR="00534756" w:rsidRDefault="00534756"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C8E0B6F" w14:textId="224D1BCD"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Is there an overall maximum value of Faster Accrual you can purchase?</w:t>
      </w:r>
    </w:p>
    <w:p w14:paraId="24CB20F0"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2797445A" w14:textId="021F053F" w:rsidR="007B032E" w:rsidRPr="007B032E" w:rsidRDefault="00EC5162" w:rsidP="007B032E">
      <w:pPr>
        <w:widowControl w:val="0"/>
        <w:tabs>
          <w:tab w:val="left" w:pos="484"/>
        </w:tabs>
        <w:autoSpaceDE w:val="0"/>
        <w:autoSpaceDN w:val="0"/>
        <w:spacing w:after="0" w:line="240" w:lineRule="auto"/>
        <w:rPr>
          <w:rFonts w:ascii="Trebuchet MS" w:hAnsi="Trebuchet MS" w:cs="Arial"/>
          <w:sz w:val="24"/>
          <w:szCs w:val="24"/>
        </w:rPr>
      </w:pPr>
      <w:r w:rsidRPr="00EC5162">
        <w:rPr>
          <w:rFonts w:ascii="Trebuchet MS" w:hAnsi="Trebuchet MS" w:cs="Arial"/>
          <w:sz w:val="24"/>
          <w:szCs w:val="24"/>
        </w:rPr>
        <w:t xml:space="preserve">In the career average </w:t>
      </w:r>
      <w:proofErr w:type="gramStart"/>
      <w:r w:rsidRPr="00EC5162">
        <w:rPr>
          <w:rFonts w:ascii="Trebuchet MS" w:hAnsi="Trebuchet MS" w:cs="Arial"/>
          <w:sz w:val="24"/>
          <w:szCs w:val="24"/>
        </w:rPr>
        <w:t>scheme</w:t>
      </w:r>
      <w:proofErr w:type="gramEnd"/>
      <w:r w:rsidRPr="00EC5162">
        <w:rPr>
          <w:rFonts w:ascii="Trebuchet MS" w:hAnsi="Trebuchet MS" w:cs="Arial"/>
          <w:sz w:val="24"/>
          <w:szCs w:val="24"/>
        </w:rPr>
        <w:t xml:space="preserve"> you can also purchase Faster Accrual or Buy Out in addition to Additional Pension, which together are subject to an overall maximum value.</w:t>
      </w:r>
      <w:r w:rsidR="007B032E" w:rsidRPr="007B032E">
        <w:rPr>
          <w:rFonts w:ascii="Trebuchet MS" w:hAnsi="Trebuchet MS" w:cs="Arial"/>
          <w:sz w:val="24"/>
          <w:szCs w:val="24"/>
        </w:rPr>
        <w:t xml:space="preserve"> For the current maximum please refer to the </w:t>
      </w:r>
      <w:hyperlink r:id="rId8">
        <w:r w:rsidR="007B032E" w:rsidRPr="007B032E">
          <w:rPr>
            <w:rFonts w:ascii="Trebuchet MS" w:hAnsi="Trebuchet MS" w:cs="Arial"/>
            <w:sz w:val="24"/>
            <w:szCs w:val="24"/>
          </w:rPr>
          <w:t xml:space="preserve">Updates </w:t>
        </w:r>
      </w:hyperlink>
      <w:r w:rsidR="007B032E" w:rsidRPr="007B032E">
        <w:rPr>
          <w:rFonts w:ascii="Trebuchet MS" w:hAnsi="Trebuchet MS" w:cs="Arial"/>
          <w:sz w:val="24"/>
          <w:szCs w:val="24"/>
        </w:rPr>
        <w:t xml:space="preserve">section of our </w:t>
      </w:r>
      <w:hyperlink r:id="rId9" w:history="1">
        <w:r w:rsidR="007B032E" w:rsidRPr="007B032E">
          <w:rPr>
            <w:rStyle w:val="Hyperlink"/>
            <w:rFonts w:ascii="Trebuchet MS" w:hAnsi="Trebuchet MS" w:cs="Arial"/>
            <w:sz w:val="24"/>
            <w:szCs w:val="24"/>
          </w:rPr>
          <w:t>website</w:t>
        </w:r>
      </w:hyperlink>
      <w:r w:rsidR="007B032E" w:rsidRPr="007B032E">
        <w:rPr>
          <w:rFonts w:ascii="Trebuchet MS" w:hAnsi="Trebuchet MS" w:cs="Arial"/>
          <w:sz w:val="24"/>
          <w:szCs w:val="24"/>
        </w:rPr>
        <w:t>.</w:t>
      </w:r>
    </w:p>
    <w:p w14:paraId="5B57FC7A"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51C49968" w14:textId="0D47D364" w:rsidR="007B032E" w:rsidRDefault="007B032E" w:rsidP="007B032E">
      <w:pPr>
        <w:widowControl w:val="0"/>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 xml:space="preserve">For further details on the other flexibilities available, </w:t>
      </w:r>
      <w:hyperlink r:id="rId10" w:history="1">
        <w:r w:rsidR="00EC5162" w:rsidRPr="00EC5162">
          <w:rPr>
            <w:rStyle w:val="Hyperlink"/>
            <w:rFonts w:ascii="Trebuchet MS" w:hAnsi="Trebuchet MS" w:cs="Arial"/>
            <w:sz w:val="24"/>
            <w:szCs w:val="24"/>
          </w:rPr>
          <w:t>please look at our website</w:t>
        </w:r>
      </w:hyperlink>
      <w:r w:rsidR="00EC5162">
        <w:rPr>
          <w:rFonts w:ascii="Trebuchet MS" w:hAnsi="Trebuchet MS" w:cs="Arial"/>
          <w:sz w:val="24"/>
          <w:szCs w:val="24"/>
        </w:rPr>
        <w:t>.</w:t>
      </w:r>
    </w:p>
    <w:p w14:paraId="6A7B4650"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3FBB6307"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What if I have multiple employments?</w:t>
      </w:r>
    </w:p>
    <w:p w14:paraId="3EE585E0"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442A1440"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If you have more than one eligible employment in the Scheme, you must indicate on your application which employment(s) the Faster Accrual election applies to.</w:t>
      </w:r>
    </w:p>
    <w:p w14:paraId="4AF8ABF0" w14:textId="77777777"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233ECDE9" w14:textId="1D57C3A1" w:rsidR="007B032E" w:rsidRPr="007B032E" w:rsidRDefault="007B032E" w:rsidP="007B032E">
      <w:pPr>
        <w:widowControl w:val="0"/>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You can choose to take the election for all or only some of your employments and can select a different rate of Faster Accrual for each.</w:t>
      </w:r>
    </w:p>
    <w:p w14:paraId="7A4B1CF3"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2C3119D3"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How will your Faster Accrual option be processed?</w:t>
      </w:r>
    </w:p>
    <w:p w14:paraId="2C58551D" w14:textId="77777777" w:rsidR="007B032E" w:rsidRDefault="007B032E" w:rsidP="007B032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5416891F" w14:textId="77777777" w:rsidR="007B032E" w:rsidRDefault="007B032E" w:rsidP="007B032E">
      <w:pPr>
        <w:widowControl w:val="0"/>
        <w:tabs>
          <w:tab w:val="left" w:pos="484"/>
        </w:tabs>
        <w:autoSpaceDE w:val="0"/>
        <w:autoSpaceDN w:val="0"/>
        <w:spacing w:after="0" w:line="240" w:lineRule="auto"/>
        <w:rPr>
          <w:rFonts w:ascii="Trebuchet MS" w:hAnsi="Trebuchet MS" w:cs="Arial"/>
          <w:sz w:val="24"/>
          <w:szCs w:val="24"/>
        </w:rPr>
      </w:pPr>
      <w:r w:rsidRPr="007B032E">
        <w:rPr>
          <w:rFonts w:ascii="Trebuchet MS" w:hAnsi="Trebuchet MS" w:cs="Arial"/>
          <w:sz w:val="24"/>
          <w:szCs w:val="24"/>
        </w:rPr>
        <w:t xml:space="preserve">If you’ve also taken out the ‘Buy Out’ flexibility we also include a factor for the Buy Out and add this to </w:t>
      </w:r>
      <w:proofErr w:type="gramStart"/>
      <w:r w:rsidRPr="007B032E">
        <w:rPr>
          <w:rFonts w:ascii="Trebuchet MS" w:hAnsi="Trebuchet MS" w:cs="Arial"/>
          <w:sz w:val="24"/>
          <w:szCs w:val="24"/>
        </w:rPr>
        <w:t>The</w:t>
      </w:r>
      <w:proofErr w:type="gramEnd"/>
      <w:r w:rsidRPr="007B032E">
        <w:rPr>
          <w:rFonts w:ascii="Trebuchet MS" w:hAnsi="Trebuchet MS" w:cs="Arial"/>
          <w:sz w:val="24"/>
          <w:szCs w:val="24"/>
        </w:rPr>
        <w:t xml:space="preserve"> process for purchasing Faster Accrual is as follows:</w:t>
      </w:r>
    </w:p>
    <w:p w14:paraId="0FD5D021" w14:textId="77777777" w:rsid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204023F5" w14:textId="77777777" w:rsidR="002751EB" w:rsidRDefault="007B032E" w:rsidP="002751EB">
      <w:pPr>
        <w:pStyle w:val="ListParagraph"/>
        <w:widowControl w:val="0"/>
        <w:numPr>
          <w:ilvl w:val="0"/>
          <w:numId w:val="3"/>
        </w:numPr>
        <w:tabs>
          <w:tab w:val="left" w:pos="484"/>
        </w:tabs>
        <w:autoSpaceDE w:val="0"/>
        <w:autoSpaceDN w:val="0"/>
        <w:spacing w:after="0" w:line="240" w:lineRule="auto"/>
        <w:ind w:hanging="153"/>
        <w:rPr>
          <w:rFonts w:ascii="Trebuchet MS" w:hAnsi="Trebuchet MS" w:cs="Arial"/>
          <w:sz w:val="24"/>
          <w:szCs w:val="24"/>
        </w:rPr>
      </w:pPr>
      <w:r w:rsidRPr="002751EB">
        <w:rPr>
          <w:rFonts w:ascii="Trebuchet MS" w:hAnsi="Trebuchet MS" w:cs="Arial"/>
          <w:sz w:val="24"/>
          <w:szCs w:val="24"/>
        </w:rPr>
        <w:t>As a member you’ll need to complete the flexibilities form on My Pension Online. One form covers all three flexibilities and you’re only required to complete the section which you’re applying for. You’ll only see the options which are available to you and an eligibility check will take place to make sure you’re only applying for flexibilities within your limit.</w:t>
      </w:r>
    </w:p>
    <w:p w14:paraId="5152A181" w14:textId="77777777" w:rsidR="002751EB" w:rsidRDefault="007B032E" w:rsidP="002751EB">
      <w:pPr>
        <w:pStyle w:val="ListParagraph"/>
        <w:widowControl w:val="0"/>
        <w:numPr>
          <w:ilvl w:val="0"/>
          <w:numId w:val="3"/>
        </w:numPr>
        <w:tabs>
          <w:tab w:val="left" w:pos="484"/>
        </w:tabs>
        <w:autoSpaceDE w:val="0"/>
        <w:autoSpaceDN w:val="0"/>
        <w:spacing w:after="0" w:line="240" w:lineRule="auto"/>
        <w:ind w:hanging="153"/>
        <w:rPr>
          <w:rFonts w:ascii="Trebuchet MS" w:hAnsi="Trebuchet MS" w:cs="Arial"/>
          <w:sz w:val="24"/>
          <w:szCs w:val="24"/>
        </w:rPr>
      </w:pPr>
      <w:r w:rsidRPr="002751EB">
        <w:rPr>
          <w:rFonts w:ascii="Trebuchet MS" w:hAnsi="Trebuchet MS" w:cs="Arial"/>
          <w:sz w:val="24"/>
          <w:szCs w:val="24"/>
        </w:rPr>
        <w:t xml:space="preserve">By submitting the application </w:t>
      </w:r>
      <w:proofErr w:type="gramStart"/>
      <w:r w:rsidRPr="002751EB">
        <w:rPr>
          <w:rFonts w:ascii="Trebuchet MS" w:hAnsi="Trebuchet MS" w:cs="Arial"/>
          <w:sz w:val="24"/>
          <w:szCs w:val="24"/>
        </w:rPr>
        <w:t>online</w:t>
      </w:r>
      <w:proofErr w:type="gramEnd"/>
      <w:r w:rsidRPr="002751EB">
        <w:rPr>
          <w:rFonts w:ascii="Trebuchet MS" w:hAnsi="Trebuchet MS" w:cs="Arial"/>
          <w:sz w:val="24"/>
          <w:szCs w:val="24"/>
        </w:rPr>
        <w:t xml:space="preserve"> it will be sent to your employer to confirm your employment.</w:t>
      </w:r>
    </w:p>
    <w:p w14:paraId="05CCCF2D" w14:textId="77777777" w:rsidR="002751EB" w:rsidRDefault="007B032E" w:rsidP="002751EB">
      <w:pPr>
        <w:pStyle w:val="ListParagraph"/>
        <w:widowControl w:val="0"/>
        <w:numPr>
          <w:ilvl w:val="0"/>
          <w:numId w:val="3"/>
        </w:numPr>
        <w:tabs>
          <w:tab w:val="left" w:pos="484"/>
        </w:tabs>
        <w:autoSpaceDE w:val="0"/>
        <w:autoSpaceDN w:val="0"/>
        <w:spacing w:after="0" w:line="240" w:lineRule="auto"/>
        <w:ind w:hanging="153"/>
        <w:rPr>
          <w:rFonts w:ascii="Trebuchet MS" w:hAnsi="Trebuchet MS" w:cs="Arial"/>
          <w:sz w:val="24"/>
          <w:szCs w:val="24"/>
        </w:rPr>
      </w:pPr>
      <w:r w:rsidRPr="002751EB">
        <w:rPr>
          <w:rFonts w:ascii="Trebuchet MS" w:hAnsi="Trebuchet MS" w:cs="Arial"/>
          <w:sz w:val="24"/>
          <w:szCs w:val="24"/>
        </w:rPr>
        <w:t>Your employer will then submit confirmation of employment to Teachers’ Pensions or reject your application.</w:t>
      </w:r>
    </w:p>
    <w:p w14:paraId="3AC03B5A" w14:textId="56E40CD3" w:rsidR="007B032E" w:rsidRPr="002751EB" w:rsidRDefault="007B032E" w:rsidP="002751EB">
      <w:pPr>
        <w:pStyle w:val="ListParagraph"/>
        <w:widowControl w:val="0"/>
        <w:numPr>
          <w:ilvl w:val="0"/>
          <w:numId w:val="3"/>
        </w:numPr>
        <w:tabs>
          <w:tab w:val="left" w:pos="484"/>
        </w:tabs>
        <w:autoSpaceDE w:val="0"/>
        <w:autoSpaceDN w:val="0"/>
        <w:spacing w:after="0" w:line="240" w:lineRule="auto"/>
        <w:ind w:hanging="153"/>
        <w:rPr>
          <w:rFonts w:ascii="Trebuchet MS" w:hAnsi="Trebuchet MS" w:cs="Arial"/>
          <w:sz w:val="24"/>
          <w:szCs w:val="24"/>
        </w:rPr>
      </w:pPr>
      <w:r w:rsidRPr="002751EB">
        <w:rPr>
          <w:rFonts w:ascii="Trebuchet MS" w:hAnsi="Trebuchet MS" w:cs="Arial"/>
          <w:sz w:val="24"/>
          <w:szCs w:val="24"/>
        </w:rPr>
        <w:t>Teachers’ Pensions will then accept or reject your request.</w:t>
      </w:r>
    </w:p>
    <w:p w14:paraId="6C0580AF" w14:textId="77777777" w:rsidR="007B032E" w:rsidRPr="002751EB"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3F5ED8CD" w14:textId="77777777" w:rsidR="007B032E" w:rsidRDefault="007B032E" w:rsidP="007B032E">
      <w:pPr>
        <w:widowControl w:val="0"/>
        <w:tabs>
          <w:tab w:val="left" w:pos="484"/>
        </w:tabs>
        <w:autoSpaceDE w:val="0"/>
        <w:autoSpaceDN w:val="0"/>
        <w:spacing w:after="0" w:line="240" w:lineRule="auto"/>
        <w:rPr>
          <w:rFonts w:ascii="Trebuchet MS" w:hAnsi="Trebuchet MS" w:cs="Arial"/>
          <w:sz w:val="24"/>
          <w:szCs w:val="24"/>
        </w:rPr>
      </w:pPr>
      <w:r w:rsidRPr="002751EB">
        <w:rPr>
          <w:rFonts w:ascii="Trebuchet MS" w:hAnsi="Trebuchet MS" w:cs="Arial"/>
          <w:sz w:val="24"/>
          <w:szCs w:val="24"/>
        </w:rPr>
        <w:t>We’ll inform:</w:t>
      </w:r>
    </w:p>
    <w:p w14:paraId="5FF5D754" w14:textId="77777777" w:rsidR="007B032E" w:rsidRDefault="007B032E" w:rsidP="007B032E">
      <w:pPr>
        <w:widowControl w:val="0"/>
        <w:tabs>
          <w:tab w:val="left" w:pos="484"/>
        </w:tabs>
        <w:autoSpaceDE w:val="0"/>
        <w:autoSpaceDN w:val="0"/>
        <w:spacing w:after="0" w:line="240" w:lineRule="auto"/>
        <w:rPr>
          <w:rFonts w:ascii="Trebuchet MS" w:hAnsi="Trebuchet MS" w:cs="Arial"/>
          <w:sz w:val="24"/>
          <w:szCs w:val="24"/>
        </w:rPr>
      </w:pPr>
    </w:p>
    <w:p w14:paraId="34CE1E50" w14:textId="77777777" w:rsidR="002751EB" w:rsidRDefault="002751EB" w:rsidP="002751EB">
      <w:pPr>
        <w:pStyle w:val="ListParagraph"/>
        <w:widowControl w:val="0"/>
        <w:numPr>
          <w:ilvl w:val="0"/>
          <w:numId w:val="4"/>
        </w:numPr>
        <w:tabs>
          <w:tab w:val="left" w:pos="484"/>
        </w:tabs>
        <w:autoSpaceDE w:val="0"/>
        <w:autoSpaceDN w:val="0"/>
        <w:spacing w:after="0" w:line="240" w:lineRule="auto"/>
        <w:ind w:hanging="153"/>
        <w:rPr>
          <w:rFonts w:ascii="Trebuchet MS" w:hAnsi="Trebuchet MS" w:cs="Arial"/>
          <w:sz w:val="24"/>
          <w:szCs w:val="24"/>
        </w:rPr>
      </w:pPr>
      <w:r>
        <w:rPr>
          <w:rFonts w:ascii="Trebuchet MS" w:hAnsi="Trebuchet MS" w:cs="Arial"/>
          <w:sz w:val="24"/>
          <w:szCs w:val="24"/>
        </w:rPr>
        <w:t xml:space="preserve"> </w:t>
      </w:r>
      <w:r w:rsidR="007B032E" w:rsidRPr="002751EB">
        <w:rPr>
          <w:rFonts w:ascii="Trebuchet MS" w:hAnsi="Trebuchet MS" w:cs="Arial"/>
          <w:sz w:val="24"/>
          <w:szCs w:val="24"/>
        </w:rPr>
        <w:t xml:space="preserve">The </w:t>
      </w:r>
      <w:proofErr w:type="gramStart"/>
      <w:r w:rsidR="007B032E" w:rsidRPr="002751EB">
        <w:rPr>
          <w:rFonts w:ascii="Trebuchet MS" w:hAnsi="Trebuchet MS" w:cs="Arial"/>
          <w:sz w:val="24"/>
          <w:szCs w:val="24"/>
        </w:rPr>
        <w:t>employer, if</w:t>
      </w:r>
      <w:proofErr w:type="gramEnd"/>
      <w:r w:rsidR="007B032E" w:rsidRPr="002751EB">
        <w:rPr>
          <w:rFonts w:ascii="Trebuchet MS" w:hAnsi="Trebuchet MS" w:cs="Arial"/>
          <w:sz w:val="24"/>
          <w:szCs w:val="24"/>
        </w:rPr>
        <w:t xml:space="preserve"> the request has been accepted / rejected. If accepted the employer will provide the percentage deduction and confirm dates (for Faster Accrual and Buy Out) and lump sum or monthly amount for Additional Pension.</w:t>
      </w:r>
    </w:p>
    <w:p w14:paraId="1271D863" w14:textId="6D06B156" w:rsidR="002751EB" w:rsidRPr="002751EB" w:rsidRDefault="007B032E" w:rsidP="002751EB">
      <w:pPr>
        <w:pStyle w:val="ListParagraph"/>
        <w:widowControl w:val="0"/>
        <w:numPr>
          <w:ilvl w:val="0"/>
          <w:numId w:val="4"/>
        </w:numPr>
        <w:tabs>
          <w:tab w:val="left" w:pos="484"/>
        </w:tabs>
        <w:autoSpaceDE w:val="0"/>
        <w:autoSpaceDN w:val="0"/>
        <w:spacing w:after="0" w:line="240" w:lineRule="auto"/>
        <w:ind w:hanging="153"/>
        <w:rPr>
          <w:rFonts w:ascii="Trebuchet MS" w:hAnsi="Trebuchet MS" w:cs="Arial"/>
          <w:sz w:val="24"/>
          <w:szCs w:val="24"/>
        </w:rPr>
      </w:pPr>
      <w:r w:rsidRPr="002751EB">
        <w:rPr>
          <w:rFonts w:ascii="Trebuchet MS" w:hAnsi="Trebuchet MS" w:cs="Arial"/>
          <w:sz w:val="24"/>
          <w:szCs w:val="24"/>
        </w:rPr>
        <w:t>You, if the request has been accepted /rejected and indicate the reasons why.</w:t>
      </w:r>
    </w:p>
    <w:p w14:paraId="39FBC179" w14:textId="77777777" w:rsidR="002751EB" w:rsidRDefault="002751EB" w:rsidP="002751EB">
      <w:pPr>
        <w:widowControl w:val="0"/>
        <w:tabs>
          <w:tab w:val="left" w:pos="484"/>
        </w:tabs>
        <w:autoSpaceDE w:val="0"/>
        <w:autoSpaceDN w:val="0"/>
        <w:spacing w:after="0" w:line="240" w:lineRule="auto"/>
        <w:rPr>
          <w:rFonts w:ascii="Trebuchet MS" w:hAnsi="Trebuchet MS" w:cs="Arial"/>
          <w:sz w:val="24"/>
          <w:szCs w:val="24"/>
        </w:rPr>
      </w:pPr>
    </w:p>
    <w:p w14:paraId="0BEE63AE" w14:textId="19C3B5F2" w:rsidR="008B0696" w:rsidRPr="00AC3406" w:rsidRDefault="007B032E" w:rsidP="00AC3406">
      <w:pPr>
        <w:widowControl w:val="0"/>
        <w:tabs>
          <w:tab w:val="left" w:pos="484"/>
        </w:tabs>
        <w:autoSpaceDE w:val="0"/>
        <w:autoSpaceDN w:val="0"/>
        <w:spacing w:after="0" w:line="240" w:lineRule="auto"/>
        <w:rPr>
          <w:rFonts w:ascii="Trebuchet MS" w:hAnsi="Trebuchet MS" w:cs="Arial"/>
          <w:sz w:val="24"/>
          <w:szCs w:val="24"/>
        </w:rPr>
      </w:pPr>
      <w:r w:rsidRPr="002751EB">
        <w:rPr>
          <w:rFonts w:ascii="Trebuchet MS" w:hAnsi="Trebuchet MS" w:cs="Arial"/>
          <w:sz w:val="24"/>
          <w:szCs w:val="24"/>
        </w:rPr>
        <w:t>Where there is any difference between the legislation governing the Teachers’ Pension Scheme and the information in this factsheet, the legislation will apply.</w:t>
      </w:r>
    </w:p>
    <w:sectPr w:rsidR="008B0696" w:rsidRPr="00AC3406" w:rsidSect="00E701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7B032E" w:rsidRDefault="007B032E" w:rsidP="00DB4AAE">
      <w:pPr>
        <w:spacing w:after="0" w:line="240" w:lineRule="auto"/>
      </w:pPr>
      <w:r>
        <w:separator/>
      </w:r>
    </w:p>
  </w:endnote>
  <w:endnote w:type="continuationSeparator" w:id="0">
    <w:p w14:paraId="2883DF8F" w14:textId="77777777" w:rsidR="007B032E" w:rsidRDefault="007B032E"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734" w14:textId="4B160FE7" w:rsidR="007B032E" w:rsidRDefault="002751EB">
    <w:pPr>
      <w:pStyle w:val="Footer"/>
    </w:pPr>
    <w:r>
      <w:t>Faster Accrual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7B032E" w:rsidRDefault="007B032E" w:rsidP="00DB4AAE">
      <w:pPr>
        <w:spacing w:after="0" w:line="240" w:lineRule="auto"/>
      </w:pPr>
      <w:r>
        <w:separator/>
      </w:r>
    </w:p>
  </w:footnote>
  <w:footnote w:type="continuationSeparator" w:id="0">
    <w:p w14:paraId="095E9DE3" w14:textId="77777777" w:rsidR="007B032E" w:rsidRDefault="007B032E"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1B9F"/>
    <w:multiLevelType w:val="hybridMultilevel"/>
    <w:tmpl w:val="B11C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4E80FCF"/>
    <w:multiLevelType w:val="hybridMultilevel"/>
    <w:tmpl w:val="39A2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22FCD"/>
    <w:multiLevelType w:val="hybridMultilevel"/>
    <w:tmpl w:val="197C0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0C7A9E"/>
    <w:rsid w:val="00146C68"/>
    <w:rsid w:val="001B685D"/>
    <w:rsid w:val="002464FE"/>
    <w:rsid w:val="002751EB"/>
    <w:rsid w:val="002B4C2D"/>
    <w:rsid w:val="00336A3A"/>
    <w:rsid w:val="00354B69"/>
    <w:rsid w:val="003778BE"/>
    <w:rsid w:val="00383408"/>
    <w:rsid w:val="00410561"/>
    <w:rsid w:val="00420297"/>
    <w:rsid w:val="00437A79"/>
    <w:rsid w:val="004449E8"/>
    <w:rsid w:val="00470D0F"/>
    <w:rsid w:val="004F4842"/>
    <w:rsid w:val="00503962"/>
    <w:rsid w:val="00534756"/>
    <w:rsid w:val="006A3C99"/>
    <w:rsid w:val="006C5D36"/>
    <w:rsid w:val="007B032E"/>
    <w:rsid w:val="007B7CA8"/>
    <w:rsid w:val="007C3858"/>
    <w:rsid w:val="007F5D61"/>
    <w:rsid w:val="00804F2C"/>
    <w:rsid w:val="00805F55"/>
    <w:rsid w:val="0082195F"/>
    <w:rsid w:val="00825247"/>
    <w:rsid w:val="0085646E"/>
    <w:rsid w:val="008B0696"/>
    <w:rsid w:val="008B1BF5"/>
    <w:rsid w:val="008B4835"/>
    <w:rsid w:val="00912552"/>
    <w:rsid w:val="00956008"/>
    <w:rsid w:val="00960EF2"/>
    <w:rsid w:val="00A43ECB"/>
    <w:rsid w:val="00A66455"/>
    <w:rsid w:val="00AB1FEA"/>
    <w:rsid w:val="00AC3406"/>
    <w:rsid w:val="00AC56A5"/>
    <w:rsid w:val="00B429A6"/>
    <w:rsid w:val="00B5536B"/>
    <w:rsid w:val="00B71CC2"/>
    <w:rsid w:val="00B82B4D"/>
    <w:rsid w:val="00C16BDC"/>
    <w:rsid w:val="00C359A7"/>
    <w:rsid w:val="00CD093B"/>
    <w:rsid w:val="00D41EBA"/>
    <w:rsid w:val="00D43229"/>
    <w:rsid w:val="00D81FBC"/>
    <w:rsid w:val="00D924A0"/>
    <w:rsid w:val="00DB4AAE"/>
    <w:rsid w:val="00DE434C"/>
    <w:rsid w:val="00E7010D"/>
    <w:rsid w:val="00E73BAB"/>
    <w:rsid w:val="00EB1D3F"/>
    <w:rsid w:val="00EC5162"/>
    <w:rsid w:val="00EC6137"/>
    <w:rsid w:val="00F06EEF"/>
    <w:rsid w:val="00FC3C96"/>
    <w:rsid w:val="00FC68C1"/>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B71CC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71CC2"/>
    <w:rPr>
      <w:rFonts w:ascii="Calibri" w:eastAsia="Calibri" w:hAnsi="Calibri" w:cs="Calibri"/>
    </w:rPr>
  </w:style>
  <w:style w:type="table" w:styleId="TableGrid">
    <w:name w:val="Table Grid"/>
    <w:basedOn w:val="TableNormal"/>
    <w:uiPriority w:val="59"/>
    <w:rsid w:val="00B7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5F55"/>
    <w:pPr>
      <w:widowControl w:val="0"/>
      <w:autoSpaceDE w:val="0"/>
      <w:autoSpaceDN w:val="0"/>
      <w:spacing w:before="157" w:after="0" w:line="240" w:lineRule="auto"/>
      <w:ind w:left="141"/>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619">
      <w:bodyDiv w:val="1"/>
      <w:marLeft w:val="0"/>
      <w:marRight w:val="0"/>
      <w:marTop w:val="0"/>
      <w:marBottom w:val="0"/>
      <w:divBdr>
        <w:top w:val="none" w:sz="0" w:space="0" w:color="auto"/>
        <w:left w:val="none" w:sz="0" w:space="0" w:color="auto"/>
        <w:bottom w:val="none" w:sz="0" w:space="0" w:color="auto"/>
        <w:right w:val="none" w:sz="0" w:space="0" w:color="auto"/>
      </w:divBdr>
    </w:div>
    <w:div w:id="498926055">
      <w:bodyDiv w:val="1"/>
      <w:marLeft w:val="0"/>
      <w:marRight w:val="0"/>
      <w:marTop w:val="0"/>
      <w:marBottom w:val="0"/>
      <w:divBdr>
        <w:top w:val="none" w:sz="0" w:space="0" w:color="auto"/>
        <w:left w:val="none" w:sz="0" w:space="0" w:color="auto"/>
        <w:bottom w:val="none" w:sz="0" w:space="0" w:color="auto"/>
        <w:right w:val="none" w:sz="0" w:space="0" w:color="auto"/>
      </w:divBdr>
    </w:div>
    <w:div w:id="908539986">
      <w:bodyDiv w:val="1"/>
      <w:marLeft w:val="0"/>
      <w:marRight w:val="0"/>
      <w:marTop w:val="0"/>
      <w:marBottom w:val="0"/>
      <w:divBdr>
        <w:top w:val="none" w:sz="0" w:space="0" w:color="auto"/>
        <w:left w:val="none" w:sz="0" w:space="0" w:color="auto"/>
        <w:bottom w:val="none" w:sz="0" w:space="0" w:color="auto"/>
        <w:right w:val="none" w:sz="0" w:space="0" w:color="auto"/>
      </w:divBdr>
    </w:div>
    <w:div w:id="909655407">
      <w:bodyDiv w:val="1"/>
      <w:marLeft w:val="0"/>
      <w:marRight w:val="0"/>
      <w:marTop w:val="0"/>
      <w:marBottom w:val="0"/>
      <w:divBdr>
        <w:top w:val="none" w:sz="0" w:space="0" w:color="auto"/>
        <w:left w:val="none" w:sz="0" w:space="0" w:color="auto"/>
        <w:bottom w:val="none" w:sz="0" w:space="0" w:color="auto"/>
        <w:right w:val="none" w:sz="0" w:space="0" w:color="auto"/>
      </w:divBdr>
    </w:div>
    <w:div w:id="1403723395">
      <w:bodyDiv w:val="1"/>
      <w:marLeft w:val="0"/>
      <w:marRight w:val="0"/>
      <w:marTop w:val="0"/>
      <w:marBottom w:val="0"/>
      <w:divBdr>
        <w:top w:val="none" w:sz="0" w:space="0" w:color="auto"/>
        <w:left w:val="none" w:sz="0" w:space="0" w:color="auto"/>
        <w:bottom w:val="none" w:sz="0" w:space="0" w:color="auto"/>
        <w:right w:val="none" w:sz="0" w:space="0" w:color="auto"/>
      </w:divBdr>
    </w:div>
    <w:div w:id="1686593849">
      <w:bodyDiv w:val="1"/>
      <w:marLeft w:val="0"/>
      <w:marRight w:val="0"/>
      <w:marTop w:val="0"/>
      <w:marBottom w:val="0"/>
      <w:divBdr>
        <w:top w:val="none" w:sz="0" w:space="0" w:color="auto"/>
        <w:left w:val="none" w:sz="0" w:space="0" w:color="auto"/>
        <w:bottom w:val="none" w:sz="0" w:space="0" w:color="auto"/>
        <w:right w:val="none" w:sz="0" w:space="0" w:color="auto"/>
      </w:divBdr>
    </w:div>
    <w:div w:id="17999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members/resources/forms/updat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eacherspensions.co.uk/members/working-life/paying-in/increasing-your-pension.aspx" TargetMode="External"/><Relationship Id="rId4" Type="http://schemas.openxmlformats.org/officeDocument/2006/relationships/settings" Target="settings.xml"/><Relationship Id="rId9" Type="http://schemas.openxmlformats.org/officeDocument/2006/relationships/hyperlink" Target="https://www.teacherspensions.co.uk/members/resources/forms/upd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4</cp:revision>
  <dcterms:created xsi:type="dcterms:W3CDTF">2022-03-31T11:23:00Z</dcterms:created>
  <dcterms:modified xsi:type="dcterms:W3CDTF">2022-03-31T11:24:00Z</dcterms:modified>
</cp:coreProperties>
</file>