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ADD92" w14:textId="77777777" w:rsidR="00077621" w:rsidRPr="00361FF0" w:rsidRDefault="00077621" w:rsidP="00077621">
      <w:pPr>
        <w:pStyle w:val="DeptBullets"/>
        <w:numPr>
          <w:ilvl w:val="0"/>
          <w:numId w:val="0"/>
        </w:numPr>
        <w:rPr>
          <w:rFonts w:asciiTheme="minorHAnsi" w:hAnsiTheme="minorHAnsi"/>
          <w:b/>
          <w:sz w:val="22"/>
          <w:szCs w:val="22"/>
        </w:rPr>
      </w:pPr>
      <w:bookmarkStart w:id="0" w:name="_GoBack"/>
      <w:bookmarkEnd w:id="0"/>
      <w:r w:rsidRPr="00361FF0">
        <w:rPr>
          <w:rFonts w:asciiTheme="minorHAnsi" w:hAnsiTheme="minorHAnsi"/>
          <w:b/>
          <w:sz w:val="22"/>
          <w:szCs w:val="22"/>
        </w:rPr>
        <w:t>Teachers’ Pension Scheme Pension</w:t>
      </w:r>
      <w:r w:rsidR="00AB6353">
        <w:rPr>
          <w:rFonts w:asciiTheme="minorHAnsi" w:hAnsiTheme="minorHAnsi"/>
          <w:b/>
          <w:sz w:val="22"/>
          <w:szCs w:val="22"/>
        </w:rPr>
        <w:t xml:space="preserve"> Board – February to April</w:t>
      </w:r>
      <w:r w:rsidRPr="00361FF0">
        <w:rPr>
          <w:rFonts w:asciiTheme="minorHAnsi" w:hAnsiTheme="minorHAnsi"/>
          <w:b/>
          <w:sz w:val="22"/>
          <w:szCs w:val="22"/>
        </w:rPr>
        <w:t xml:space="preserve"> 15</w:t>
      </w:r>
    </w:p>
    <w:p w14:paraId="1832719E" w14:textId="77777777" w:rsidR="008534DF" w:rsidRDefault="008534DF" w:rsidP="00077621">
      <w:pPr>
        <w:rPr>
          <w:rFonts w:asciiTheme="minorHAnsi" w:hAnsiTheme="minorHAnsi"/>
          <w:sz w:val="22"/>
          <w:szCs w:val="22"/>
        </w:rPr>
      </w:pPr>
    </w:p>
    <w:p w14:paraId="3297DD91" w14:textId="77777777" w:rsidR="00077621" w:rsidRPr="00361FF0" w:rsidRDefault="00077621" w:rsidP="00077621">
      <w:pPr>
        <w:rPr>
          <w:rFonts w:asciiTheme="minorHAnsi" w:hAnsiTheme="minorHAnsi" w:cs="Calibri"/>
          <w:b/>
          <w:sz w:val="22"/>
          <w:szCs w:val="22"/>
          <w:u w:val="single"/>
        </w:rPr>
      </w:pPr>
      <w:r w:rsidRPr="00361FF0">
        <w:rPr>
          <w:rFonts w:asciiTheme="minorHAnsi" w:hAnsiTheme="minorHAnsi"/>
          <w:sz w:val="22"/>
          <w:szCs w:val="22"/>
        </w:rPr>
        <w:t>The purpose of this document is to advise the Board of recent key events relating to the administration of the scheme</w:t>
      </w:r>
      <w:r w:rsidR="007C6110">
        <w:rPr>
          <w:rFonts w:asciiTheme="minorHAnsi" w:hAnsiTheme="minorHAnsi"/>
          <w:sz w:val="22"/>
          <w:szCs w:val="22"/>
        </w:rPr>
        <w:t>.</w:t>
      </w:r>
    </w:p>
    <w:p w14:paraId="071BCF22" w14:textId="77777777" w:rsidR="00077621" w:rsidRPr="00361FF0" w:rsidRDefault="00077621" w:rsidP="00077621">
      <w:pPr>
        <w:rPr>
          <w:rFonts w:asciiTheme="minorHAnsi" w:hAnsiTheme="minorHAnsi" w:cs="Calibri"/>
          <w:b/>
          <w:sz w:val="22"/>
          <w:szCs w:val="22"/>
          <w:u w:val="single"/>
        </w:rPr>
      </w:pPr>
    </w:p>
    <w:p w14:paraId="50E5FB74" w14:textId="2E040BDB" w:rsidR="00077621" w:rsidRPr="00361FF0" w:rsidRDefault="00077621" w:rsidP="00077621">
      <w:pPr>
        <w:jc w:val="center"/>
        <w:rPr>
          <w:rFonts w:asciiTheme="minorHAnsi" w:hAnsiTheme="minorHAnsi" w:cs="Calibri"/>
          <w:b/>
          <w:sz w:val="22"/>
          <w:szCs w:val="22"/>
        </w:rPr>
      </w:pPr>
      <w:r w:rsidRPr="00361FF0">
        <w:rPr>
          <w:rFonts w:asciiTheme="minorHAnsi" w:hAnsiTheme="minorHAnsi" w:cs="Calibri"/>
          <w:b/>
          <w:sz w:val="22"/>
          <w:szCs w:val="22"/>
        </w:rPr>
        <w:t>TP Administration Update</w:t>
      </w:r>
    </w:p>
    <w:tbl>
      <w:tblPr>
        <w:tblStyle w:val="TableGrid"/>
        <w:tblW w:w="0" w:type="auto"/>
        <w:tblInd w:w="108" w:type="dxa"/>
        <w:tblLook w:val="04A0" w:firstRow="1" w:lastRow="0" w:firstColumn="1" w:lastColumn="0" w:noHBand="0" w:noVBand="1"/>
      </w:tblPr>
      <w:tblGrid>
        <w:gridCol w:w="7230"/>
        <w:gridCol w:w="1134"/>
      </w:tblGrid>
      <w:tr w:rsidR="00361FF0" w:rsidRPr="00361FF0" w14:paraId="22B01B42" w14:textId="77777777" w:rsidTr="00C167F7">
        <w:tc>
          <w:tcPr>
            <w:tcW w:w="7230" w:type="dxa"/>
          </w:tcPr>
          <w:p w14:paraId="7E12BC9D" w14:textId="77777777" w:rsidR="00361FF0" w:rsidRPr="00361FF0" w:rsidRDefault="00361FF0"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SLAs and KPIs</w:t>
            </w:r>
          </w:p>
          <w:p w14:paraId="2FDACA2C" w14:textId="77777777" w:rsidR="00361FF0" w:rsidRPr="00361FF0" w:rsidRDefault="00361FF0" w:rsidP="006D78EE">
            <w:pPr>
              <w:rPr>
                <w:rFonts w:asciiTheme="minorHAnsi" w:hAnsiTheme="minorHAnsi" w:cs="Arial"/>
                <w:b/>
                <w:sz w:val="22"/>
                <w:szCs w:val="22"/>
              </w:rPr>
            </w:pPr>
          </w:p>
        </w:tc>
        <w:tc>
          <w:tcPr>
            <w:tcW w:w="1134" w:type="dxa"/>
            <w:shd w:val="clear" w:color="auto" w:fill="FFC000"/>
          </w:tcPr>
          <w:p w14:paraId="778ACC7A" w14:textId="77777777" w:rsidR="00361FF0" w:rsidRPr="00C167F7" w:rsidRDefault="00361FF0" w:rsidP="006D78EE">
            <w:pPr>
              <w:rPr>
                <w:rFonts w:asciiTheme="minorHAnsi" w:hAnsiTheme="minorHAnsi" w:cs="Calibri"/>
                <w:color w:val="FFFF00"/>
                <w:sz w:val="22"/>
                <w:szCs w:val="22"/>
              </w:rPr>
            </w:pPr>
          </w:p>
          <w:p w14:paraId="22D36400" w14:textId="77777777" w:rsidR="00361FF0" w:rsidRPr="00361FF0" w:rsidRDefault="00361FF0" w:rsidP="006D78EE">
            <w:pPr>
              <w:rPr>
                <w:rFonts w:asciiTheme="minorHAnsi" w:hAnsiTheme="minorHAnsi" w:cs="Calibri"/>
                <w:color w:val="00B050"/>
                <w:sz w:val="22"/>
                <w:szCs w:val="22"/>
              </w:rPr>
            </w:pPr>
          </w:p>
        </w:tc>
      </w:tr>
    </w:tbl>
    <w:p w14:paraId="591282D9" w14:textId="77777777" w:rsidR="00077621" w:rsidRPr="00361FF0" w:rsidRDefault="00077621" w:rsidP="00077621">
      <w:pPr>
        <w:jc w:val="center"/>
        <w:rPr>
          <w:rFonts w:asciiTheme="minorHAnsi" w:hAnsiTheme="minorHAnsi" w:cs="Calibri"/>
          <w:b/>
          <w:sz w:val="22"/>
          <w:szCs w:val="22"/>
        </w:rPr>
      </w:pPr>
    </w:p>
    <w:p w14:paraId="737F1693" w14:textId="7BCB867A" w:rsidR="009D31F7" w:rsidRDefault="009D31F7" w:rsidP="00361FF0">
      <w:pPr>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 xml:space="preserve">The quarter saw </w:t>
      </w:r>
      <w:r w:rsidR="00340589" w:rsidRPr="003900E4">
        <w:rPr>
          <w:rFonts w:asciiTheme="minorHAnsi" w:eastAsiaTheme="minorHAnsi" w:hAnsiTheme="minorHAnsi"/>
          <w:color w:val="000000" w:themeColor="text1"/>
          <w:sz w:val="22"/>
          <w:szCs w:val="22"/>
        </w:rPr>
        <w:t xml:space="preserve">a strong performance </w:t>
      </w:r>
      <w:r>
        <w:rPr>
          <w:rFonts w:asciiTheme="minorHAnsi" w:eastAsiaTheme="minorHAnsi" w:hAnsiTheme="minorHAnsi"/>
          <w:color w:val="000000" w:themeColor="text1"/>
          <w:sz w:val="22"/>
          <w:szCs w:val="22"/>
        </w:rPr>
        <w:t xml:space="preserve">against service standards, which was especially impressive as the reformed TPS went live in April. </w:t>
      </w:r>
      <w:r w:rsidR="00895FDF">
        <w:rPr>
          <w:rFonts w:asciiTheme="minorHAnsi" w:eastAsiaTheme="minorHAnsi" w:hAnsiTheme="minorHAnsi"/>
          <w:color w:val="000000" w:themeColor="text1"/>
          <w:sz w:val="22"/>
          <w:szCs w:val="22"/>
        </w:rPr>
        <w:t xml:space="preserve"> </w:t>
      </w:r>
      <w:r>
        <w:rPr>
          <w:rFonts w:asciiTheme="minorHAnsi" w:eastAsiaTheme="minorHAnsi" w:hAnsiTheme="minorHAnsi"/>
          <w:color w:val="000000" w:themeColor="text1"/>
          <w:sz w:val="22"/>
          <w:szCs w:val="22"/>
        </w:rPr>
        <w:t xml:space="preserve">The exceptions were the processing of transfers-out, call centre </w:t>
      </w:r>
      <w:r w:rsidR="00895FDF">
        <w:rPr>
          <w:rFonts w:asciiTheme="minorHAnsi" w:eastAsiaTheme="minorHAnsi" w:hAnsiTheme="minorHAnsi"/>
          <w:color w:val="000000" w:themeColor="text1"/>
          <w:sz w:val="22"/>
          <w:szCs w:val="22"/>
        </w:rPr>
        <w:t xml:space="preserve">response times </w:t>
      </w:r>
      <w:r>
        <w:rPr>
          <w:rFonts w:asciiTheme="minorHAnsi" w:eastAsiaTheme="minorHAnsi" w:hAnsiTheme="minorHAnsi"/>
          <w:color w:val="000000" w:themeColor="text1"/>
          <w:sz w:val="22"/>
          <w:szCs w:val="22"/>
        </w:rPr>
        <w:t>and IDRP c</w:t>
      </w:r>
      <w:r w:rsidR="008B2749">
        <w:rPr>
          <w:rFonts w:asciiTheme="minorHAnsi" w:eastAsiaTheme="minorHAnsi" w:hAnsiTheme="minorHAnsi"/>
          <w:color w:val="000000" w:themeColor="text1"/>
          <w:sz w:val="22"/>
          <w:szCs w:val="22"/>
        </w:rPr>
        <w:t>ases, which were all affected b</w:t>
      </w:r>
      <w:r>
        <w:rPr>
          <w:rFonts w:asciiTheme="minorHAnsi" w:eastAsiaTheme="minorHAnsi" w:hAnsiTheme="minorHAnsi"/>
          <w:color w:val="000000" w:themeColor="text1"/>
          <w:sz w:val="22"/>
          <w:szCs w:val="22"/>
        </w:rPr>
        <w:t>y the</w:t>
      </w:r>
      <w:r w:rsidR="00A3526C" w:rsidRPr="003900E4">
        <w:rPr>
          <w:rFonts w:asciiTheme="minorHAnsi" w:eastAsiaTheme="minorHAnsi" w:hAnsiTheme="minorHAnsi"/>
          <w:color w:val="000000" w:themeColor="text1"/>
          <w:sz w:val="22"/>
          <w:szCs w:val="22"/>
        </w:rPr>
        <w:t xml:space="preserve"> ban on DC transfers (referred to in the Legislative Changes section</w:t>
      </w:r>
      <w:proofErr w:type="gramStart"/>
      <w:r w:rsidR="00A3526C" w:rsidRPr="003900E4">
        <w:rPr>
          <w:rFonts w:asciiTheme="minorHAnsi" w:eastAsiaTheme="minorHAnsi" w:hAnsiTheme="minorHAnsi"/>
          <w:color w:val="000000" w:themeColor="text1"/>
          <w:sz w:val="22"/>
          <w:szCs w:val="22"/>
        </w:rPr>
        <w:t>)</w:t>
      </w:r>
      <w:r w:rsidR="00551187">
        <w:rPr>
          <w:rFonts w:asciiTheme="minorHAnsi" w:eastAsiaTheme="minorHAnsi" w:hAnsiTheme="minorHAnsi"/>
          <w:color w:val="000000" w:themeColor="text1"/>
          <w:sz w:val="22"/>
          <w:szCs w:val="22"/>
        </w:rPr>
        <w:t xml:space="preserve"> </w:t>
      </w:r>
      <w:r w:rsidR="00A3526C" w:rsidRPr="003900E4">
        <w:rPr>
          <w:rFonts w:asciiTheme="minorHAnsi" w:eastAsiaTheme="minorHAnsi" w:hAnsiTheme="minorHAnsi"/>
          <w:color w:val="000000" w:themeColor="text1"/>
          <w:sz w:val="22"/>
          <w:szCs w:val="22"/>
        </w:rPr>
        <w:t>.</w:t>
      </w:r>
      <w:proofErr w:type="gramEnd"/>
      <w:r w:rsidR="0043108A" w:rsidRPr="003900E4">
        <w:rPr>
          <w:rFonts w:asciiTheme="minorHAnsi" w:eastAsiaTheme="minorHAnsi" w:hAnsiTheme="minorHAnsi"/>
          <w:color w:val="000000" w:themeColor="text1"/>
          <w:sz w:val="22"/>
          <w:szCs w:val="22"/>
        </w:rPr>
        <w:t xml:space="preserve"> </w:t>
      </w:r>
      <w:r w:rsidR="00551187">
        <w:rPr>
          <w:rFonts w:asciiTheme="minorHAnsi" w:eastAsiaTheme="minorHAnsi" w:hAnsiTheme="minorHAnsi"/>
          <w:color w:val="000000" w:themeColor="text1"/>
          <w:sz w:val="22"/>
          <w:szCs w:val="22"/>
        </w:rPr>
        <w:t xml:space="preserve"> </w:t>
      </w:r>
    </w:p>
    <w:p w14:paraId="15FC3C56" w14:textId="77777777" w:rsidR="009D31F7" w:rsidRDefault="009D31F7" w:rsidP="00361FF0">
      <w:pPr>
        <w:rPr>
          <w:rFonts w:asciiTheme="minorHAnsi" w:eastAsiaTheme="minorHAnsi" w:hAnsiTheme="minorHAnsi"/>
          <w:color w:val="000000" w:themeColor="text1"/>
          <w:sz w:val="22"/>
          <w:szCs w:val="22"/>
        </w:rPr>
      </w:pPr>
    </w:p>
    <w:p w14:paraId="3632B0CD" w14:textId="4DF7006F" w:rsidR="00134F0D" w:rsidRPr="003900E4" w:rsidRDefault="009D31F7" w:rsidP="00361FF0">
      <w:pPr>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 xml:space="preserve">As the </w:t>
      </w:r>
      <w:r w:rsidR="00551187">
        <w:rPr>
          <w:rFonts w:asciiTheme="minorHAnsi" w:eastAsiaTheme="minorHAnsi" w:hAnsiTheme="minorHAnsi"/>
          <w:color w:val="000000" w:themeColor="text1"/>
          <w:sz w:val="22"/>
          <w:szCs w:val="22"/>
        </w:rPr>
        <w:t xml:space="preserve">volumes </w:t>
      </w:r>
      <w:r>
        <w:rPr>
          <w:rFonts w:asciiTheme="minorHAnsi" w:eastAsiaTheme="minorHAnsi" w:hAnsiTheme="minorHAnsi"/>
          <w:color w:val="000000" w:themeColor="text1"/>
          <w:sz w:val="22"/>
          <w:szCs w:val="22"/>
        </w:rPr>
        <w:t xml:space="preserve">of transfer cases were unexpected and </w:t>
      </w:r>
      <w:r w:rsidR="00551187">
        <w:rPr>
          <w:rFonts w:asciiTheme="minorHAnsi" w:eastAsiaTheme="minorHAnsi" w:hAnsiTheme="minorHAnsi"/>
          <w:color w:val="000000" w:themeColor="text1"/>
          <w:sz w:val="22"/>
          <w:szCs w:val="22"/>
        </w:rPr>
        <w:t xml:space="preserve">outside Capita’s control, the Department agreed to </w:t>
      </w:r>
      <w:r w:rsidR="0043108A" w:rsidRPr="003900E4">
        <w:rPr>
          <w:rFonts w:asciiTheme="minorHAnsi" w:eastAsiaTheme="minorHAnsi" w:hAnsiTheme="minorHAnsi"/>
          <w:color w:val="000000" w:themeColor="text1"/>
          <w:sz w:val="22"/>
          <w:szCs w:val="22"/>
        </w:rPr>
        <w:t xml:space="preserve">suspend </w:t>
      </w:r>
      <w:r w:rsidR="00DB4029" w:rsidRPr="003900E4">
        <w:rPr>
          <w:rFonts w:asciiTheme="minorHAnsi" w:eastAsiaTheme="minorHAnsi" w:hAnsiTheme="minorHAnsi"/>
          <w:color w:val="000000" w:themeColor="text1"/>
          <w:sz w:val="22"/>
          <w:szCs w:val="22"/>
        </w:rPr>
        <w:t xml:space="preserve">the </w:t>
      </w:r>
      <w:r w:rsidR="0043108A" w:rsidRPr="003900E4">
        <w:rPr>
          <w:rFonts w:asciiTheme="minorHAnsi" w:eastAsiaTheme="minorHAnsi" w:hAnsiTheme="minorHAnsi"/>
          <w:color w:val="000000" w:themeColor="text1"/>
          <w:sz w:val="22"/>
          <w:szCs w:val="22"/>
        </w:rPr>
        <w:t>SLA target</w:t>
      </w:r>
      <w:r w:rsidR="009B38C0" w:rsidRPr="003900E4">
        <w:rPr>
          <w:rFonts w:asciiTheme="minorHAnsi" w:eastAsiaTheme="minorHAnsi" w:hAnsiTheme="minorHAnsi"/>
          <w:color w:val="000000" w:themeColor="text1"/>
          <w:sz w:val="22"/>
          <w:szCs w:val="22"/>
        </w:rPr>
        <w:t xml:space="preserve"> (6a) </w:t>
      </w:r>
      <w:r w:rsidR="0043108A" w:rsidRPr="003900E4">
        <w:rPr>
          <w:rFonts w:asciiTheme="minorHAnsi" w:eastAsiaTheme="minorHAnsi" w:hAnsiTheme="minorHAnsi"/>
          <w:color w:val="000000" w:themeColor="text1"/>
          <w:sz w:val="22"/>
          <w:szCs w:val="22"/>
        </w:rPr>
        <w:t xml:space="preserve">March </w:t>
      </w:r>
      <w:r w:rsidR="00AB6353" w:rsidRPr="003900E4">
        <w:rPr>
          <w:rFonts w:asciiTheme="minorHAnsi" w:eastAsiaTheme="minorHAnsi" w:hAnsiTheme="minorHAnsi"/>
          <w:color w:val="000000" w:themeColor="text1"/>
          <w:sz w:val="22"/>
          <w:szCs w:val="22"/>
        </w:rPr>
        <w:t>and April</w:t>
      </w:r>
      <w:r w:rsidR="00551187">
        <w:rPr>
          <w:rFonts w:asciiTheme="minorHAnsi" w:eastAsiaTheme="minorHAnsi" w:hAnsiTheme="minorHAnsi"/>
          <w:color w:val="000000" w:themeColor="text1"/>
          <w:sz w:val="22"/>
          <w:szCs w:val="22"/>
        </w:rPr>
        <w:t xml:space="preserve"> (as provided for in the contract)</w:t>
      </w:r>
      <w:r w:rsidR="00AC46A4">
        <w:rPr>
          <w:rFonts w:asciiTheme="minorHAnsi" w:eastAsiaTheme="minorHAnsi" w:hAnsiTheme="minorHAnsi"/>
          <w:color w:val="000000" w:themeColor="text1"/>
          <w:sz w:val="22"/>
          <w:szCs w:val="22"/>
        </w:rPr>
        <w:t>,</w:t>
      </w:r>
      <w:r w:rsidR="0043108A" w:rsidRPr="003900E4">
        <w:rPr>
          <w:rFonts w:asciiTheme="minorHAnsi" w:eastAsiaTheme="minorHAnsi" w:hAnsiTheme="minorHAnsi"/>
          <w:color w:val="000000" w:themeColor="text1"/>
          <w:sz w:val="22"/>
          <w:szCs w:val="22"/>
        </w:rPr>
        <w:t xml:space="preserve"> with </w:t>
      </w:r>
      <w:r w:rsidR="00AC46A4">
        <w:rPr>
          <w:rFonts w:asciiTheme="minorHAnsi" w:eastAsiaTheme="minorHAnsi" w:hAnsiTheme="minorHAnsi"/>
          <w:color w:val="000000" w:themeColor="text1"/>
          <w:sz w:val="22"/>
          <w:szCs w:val="22"/>
        </w:rPr>
        <w:t xml:space="preserve">the </w:t>
      </w:r>
      <w:r w:rsidR="0043108A" w:rsidRPr="003900E4">
        <w:rPr>
          <w:rFonts w:asciiTheme="minorHAnsi" w:eastAsiaTheme="minorHAnsi" w:hAnsiTheme="minorHAnsi"/>
          <w:color w:val="000000" w:themeColor="text1"/>
          <w:sz w:val="22"/>
          <w:szCs w:val="22"/>
        </w:rPr>
        <w:t>reintrod</w:t>
      </w:r>
      <w:r w:rsidR="009B38C0" w:rsidRPr="003900E4">
        <w:rPr>
          <w:rFonts w:asciiTheme="minorHAnsi" w:eastAsiaTheme="minorHAnsi" w:hAnsiTheme="minorHAnsi"/>
          <w:color w:val="000000" w:themeColor="text1"/>
          <w:sz w:val="22"/>
          <w:szCs w:val="22"/>
        </w:rPr>
        <w:t xml:space="preserve">uction of </w:t>
      </w:r>
      <w:r w:rsidR="002622AE" w:rsidRPr="003900E4">
        <w:rPr>
          <w:rFonts w:asciiTheme="minorHAnsi" w:eastAsiaTheme="minorHAnsi" w:hAnsiTheme="minorHAnsi"/>
          <w:color w:val="000000" w:themeColor="text1"/>
          <w:sz w:val="22"/>
          <w:szCs w:val="22"/>
        </w:rPr>
        <w:t xml:space="preserve">the </w:t>
      </w:r>
      <w:r w:rsidR="009B38C0" w:rsidRPr="003900E4">
        <w:rPr>
          <w:rFonts w:asciiTheme="minorHAnsi" w:eastAsiaTheme="minorHAnsi" w:hAnsiTheme="minorHAnsi"/>
          <w:color w:val="000000" w:themeColor="text1"/>
          <w:sz w:val="22"/>
          <w:szCs w:val="22"/>
        </w:rPr>
        <w:t>SLA target from 1 May</w:t>
      </w:r>
      <w:r w:rsidR="00DB4029" w:rsidRPr="003900E4">
        <w:rPr>
          <w:rFonts w:asciiTheme="minorHAnsi" w:eastAsiaTheme="minorHAnsi" w:hAnsiTheme="minorHAnsi"/>
          <w:color w:val="000000" w:themeColor="text1"/>
          <w:sz w:val="22"/>
          <w:szCs w:val="22"/>
        </w:rPr>
        <w:t xml:space="preserve">.  A </w:t>
      </w:r>
      <w:r w:rsidR="009B38C0" w:rsidRPr="003900E4">
        <w:rPr>
          <w:rFonts w:asciiTheme="minorHAnsi" w:eastAsiaTheme="minorHAnsi" w:hAnsiTheme="minorHAnsi"/>
          <w:color w:val="000000" w:themeColor="text1"/>
          <w:sz w:val="22"/>
          <w:szCs w:val="22"/>
        </w:rPr>
        <w:t xml:space="preserve">concession was </w:t>
      </w:r>
      <w:r w:rsidR="00551187">
        <w:rPr>
          <w:rFonts w:asciiTheme="minorHAnsi" w:eastAsiaTheme="minorHAnsi" w:hAnsiTheme="minorHAnsi"/>
          <w:color w:val="000000" w:themeColor="text1"/>
          <w:sz w:val="22"/>
          <w:szCs w:val="22"/>
        </w:rPr>
        <w:t xml:space="preserve">similarly </w:t>
      </w:r>
      <w:r w:rsidR="009B38C0" w:rsidRPr="003900E4">
        <w:rPr>
          <w:rFonts w:asciiTheme="minorHAnsi" w:eastAsiaTheme="minorHAnsi" w:hAnsiTheme="minorHAnsi"/>
          <w:color w:val="000000" w:themeColor="text1"/>
          <w:sz w:val="22"/>
          <w:szCs w:val="22"/>
        </w:rPr>
        <w:t xml:space="preserve">granted for SLA target (6b).  </w:t>
      </w:r>
      <w:r w:rsidR="00F62917">
        <w:rPr>
          <w:rFonts w:asciiTheme="minorHAnsi" w:eastAsiaTheme="minorHAnsi" w:hAnsiTheme="minorHAnsi"/>
          <w:color w:val="000000" w:themeColor="text1"/>
          <w:sz w:val="22"/>
          <w:szCs w:val="22"/>
        </w:rPr>
        <w:t>N</w:t>
      </w:r>
      <w:r w:rsidR="00895FDF">
        <w:rPr>
          <w:rFonts w:asciiTheme="minorHAnsi" w:eastAsiaTheme="minorHAnsi" w:hAnsiTheme="minorHAnsi"/>
          <w:color w:val="000000" w:themeColor="text1"/>
          <w:sz w:val="22"/>
          <w:szCs w:val="22"/>
        </w:rPr>
        <w:t>evertheless, p</w:t>
      </w:r>
      <w:r w:rsidR="009B38C0" w:rsidRPr="003900E4">
        <w:rPr>
          <w:rFonts w:asciiTheme="minorHAnsi" w:eastAsiaTheme="minorHAnsi" w:hAnsiTheme="minorHAnsi"/>
          <w:color w:val="000000" w:themeColor="text1"/>
          <w:sz w:val="22"/>
          <w:szCs w:val="22"/>
        </w:rPr>
        <w:t xml:space="preserve">lans </w:t>
      </w:r>
      <w:r w:rsidR="00DB4029" w:rsidRPr="003900E4">
        <w:rPr>
          <w:rFonts w:asciiTheme="minorHAnsi" w:eastAsiaTheme="minorHAnsi" w:hAnsiTheme="minorHAnsi"/>
          <w:color w:val="000000" w:themeColor="text1"/>
          <w:sz w:val="22"/>
          <w:szCs w:val="22"/>
        </w:rPr>
        <w:t>were</w:t>
      </w:r>
      <w:r w:rsidR="009B38C0" w:rsidRPr="003900E4">
        <w:rPr>
          <w:rFonts w:asciiTheme="minorHAnsi" w:eastAsiaTheme="minorHAnsi" w:hAnsiTheme="minorHAnsi"/>
          <w:color w:val="000000" w:themeColor="text1"/>
          <w:sz w:val="22"/>
          <w:szCs w:val="22"/>
        </w:rPr>
        <w:t xml:space="preserve"> put in place to manage the customer experience during this peak of activity</w:t>
      </w:r>
      <w:r w:rsidR="00551187">
        <w:rPr>
          <w:rFonts w:asciiTheme="minorHAnsi" w:eastAsiaTheme="minorHAnsi" w:hAnsiTheme="minorHAnsi"/>
          <w:color w:val="000000" w:themeColor="text1"/>
          <w:sz w:val="22"/>
          <w:szCs w:val="22"/>
        </w:rPr>
        <w:t>, with no decrease in customer service being achieved</w:t>
      </w:r>
      <w:r w:rsidR="009B38C0" w:rsidRPr="003900E4">
        <w:rPr>
          <w:rFonts w:asciiTheme="minorHAnsi" w:eastAsiaTheme="minorHAnsi" w:hAnsiTheme="minorHAnsi"/>
          <w:color w:val="000000" w:themeColor="text1"/>
          <w:sz w:val="22"/>
          <w:szCs w:val="22"/>
        </w:rPr>
        <w:t>.</w:t>
      </w:r>
    </w:p>
    <w:p w14:paraId="6D69F7B5" w14:textId="77777777" w:rsidR="009D31F7" w:rsidRDefault="009D31F7" w:rsidP="00361FF0">
      <w:pPr>
        <w:rPr>
          <w:rFonts w:asciiTheme="minorHAnsi" w:eastAsiaTheme="minorHAnsi" w:hAnsiTheme="minorHAnsi"/>
          <w:color w:val="000000" w:themeColor="text1"/>
          <w:sz w:val="22"/>
          <w:szCs w:val="22"/>
        </w:rPr>
      </w:pPr>
    </w:p>
    <w:p w14:paraId="1600606B" w14:textId="1B8AFDF7" w:rsidR="00551187" w:rsidRDefault="00340589" w:rsidP="00361FF0">
      <w:pPr>
        <w:rPr>
          <w:rFonts w:asciiTheme="minorHAnsi" w:eastAsiaTheme="minorHAnsi" w:hAnsiTheme="minorHAnsi"/>
          <w:color w:val="000000" w:themeColor="text1"/>
          <w:sz w:val="22"/>
          <w:szCs w:val="22"/>
        </w:rPr>
      </w:pPr>
      <w:r w:rsidRPr="003900E4">
        <w:rPr>
          <w:rFonts w:asciiTheme="minorHAnsi" w:eastAsiaTheme="minorHAnsi" w:hAnsiTheme="minorHAnsi"/>
          <w:color w:val="000000" w:themeColor="text1"/>
          <w:sz w:val="22"/>
          <w:szCs w:val="22"/>
        </w:rPr>
        <w:t>The Telephony KPI failed in March</w:t>
      </w:r>
      <w:r w:rsidR="009D31F7">
        <w:rPr>
          <w:rFonts w:asciiTheme="minorHAnsi" w:eastAsiaTheme="minorHAnsi" w:hAnsiTheme="minorHAnsi"/>
          <w:color w:val="000000" w:themeColor="text1"/>
          <w:sz w:val="22"/>
          <w:szCs w:val="22"/>
        </w:rPr>
        <w:t xml:space="preserve"> </w:t>
      </w:r>
      <w:r w:rsidRPr="003900E4">
        <w:rPr>
          <w:rFonts w:asciiTheme="minorHAnsi" w:eastAsiaTheme="minorHAnsi" w:hAnsiTheme="minorHAnsi"/>
          <w:color w:val="000000" w:themeColor="text1"/>
          <w:sz w:val="22"/>
          <w:szCs w:val="22"/>
        </w:rPr>
        <w:t>and April</w:t>
      </w:r>
      <w:r w:rsidR="00895FDF">
        <w:rPr>
          <w:rFonts w:asciiTheme="minorHAnsi" w:eastAsiaTheme="minorHAnsi" w:hAnsiTheme="minorHAnsi"/>
          <w:color w:val="000000" w:themeColor="text1"/>
          <w:sz w:val="22"/>
          <w:szCs w:val="22"/>
        </w:rPr>
        <w:t xml:space="preserve"> as we received an unexpected number of calls, especially from teachers and their Independent Financial Advisers  (IFAs) chasing up last minute applications for transfers.  As they were unhappy with the </w:t>
      </w:r>
      <w:r w:rsidR="00620172">
        <w:rPr>
          <w:rFonts w:asciiTheme="minorHAnsi" w:eastAsiaTheme="minorHAnsi" w:hAnsiTheme="minorHAnsi"/>
          <w:color w:val="000000" w:themeColor="text1"/>
          <w:sz w:val="22"/>
          <w:szCs w:val="22"/>
        </w:rPr>
        <w:t>“</w:t>
      </w:r>
      <w:r w:rsidR="00895FDF">
        <w:rPr>
          <w:rFonts w:asciiTheme="minorHAnsi" w:eastAsiaTheme="minorHAnsi" w:hAnsiTheme="minorHAnsi"/>
          <w:color w:val="000000" w:themeColor="text1"/>
          <w:sz w:val="22"/>
          <w:szCs w:val="22"/>
        </w:rPr>
        <w:t>delays</w:t>
      </w:r>
      <w:r w:rsidR="00620172">
        <w:rPr>
          <w:rFonts w:asciiTheme="minorHAnsi" w:eastAsiaTheme="minorHAnsi" w:hAnsiTheme="minorHAnsi"/>
          <w:color w:val="000000" w:themeColor="text1"/>
          <w:sz w:val="22"/>
          <w:szCs w:val="22"/>
        </w:rPr>
        <w:t>”</w:t>
      </w:r>
      <w:r w:rsidR="00895FDF">
        <w:rPr>
          <w:rFonts w:asciiTheme="minorHAnsi" w:eastAsiaTheme="minorHAnsi" w:hAnsiTheme="minorHAnsi"/>
          <w:color w:val="000000" w:themeColor="text1"/>
          <w:sz w:val="22"/>
          <w:szCs w:val="22"/>
        </w:rPr>
        <w:t xml:space="preserve"> and missing the cut-off date, this in turn led to a</w:t>
      </w:r>
      <w:r w:rsidR="00F62917">
        <w:rPr>
          <w:rFonts w:asciiTheme="minorHAnsi" w:eastAsiaTheme="minorHAnsi" w:hAnsiTheme="minorHAnsi"/>
          <w:color w:val="000000" w:themeColor="text1"/>
          <w:sz w:val="22"/>
          <w:szCs w:val="22"/>
        </w:rPr>
        <w:t xml:space="preserve"> small </w:t>
      </w:r>
      <w:r w:rsidR="00551187">
        <w:rPr>
          <w:rFonts w:asciiTheme="minorHAnsi" w:eastAsiaTheme="minorHAnsi" w:hAnsiTheme="minorHAnsi"/>
          <w:color w:val="000000" w:themeColor="text1"/>
          <w:sz w:val="22"/>
          <w:szCs w:val="22"/>
        </w:rPr>
        <w:t>increase in IDRP complaints</w:t>
      </w:r>
      <w:r w:rsidR="003900E4">
        <w:rPr>
          <w:rFonts w:asciiTheme="minorHAnsi" w:eastAsiaTheme="minorHAnsi" w:hAnsiTheme="minorHAnsi"/>
          <w:color w:val="000000" w:themeColor="text1"/>
          <w:sz w:val="22"/>
          <w:szCs w:val="22"/>
        </w:rPr>
        <w:t xml:space="preserve">.  </w:t>
      </w:r>
      <w:r w:rsidR="00551187">
        <w:rPr>
          <w:rFonts w:asciiTheme="minorHAnsi" w:eastAsiaTheme="minorHAnsi" w:hAnsiTheme="minorHAnsi"/>
          <w:color w:val="000000" w:themeColor="text1"/>
          <w:sz w:val="22"/>
          <w:szCs w:val="22"/>
        </w:rPr>
        <w:t xml:space="preserve">The last minute urgency reflected the </w:t>
      </w:r>
      <w:proofErr w:type="gramStart"/>
      <w:r w:rsidR="00551187">
        <w:rPr>
          <w:rFonts w:asciiTheme="minorHAnsi" w:eastAsiaTheme="minorHAnsi" w:hAnsiTheme="minorHAnsi"/>
          <w:color w:val="000000" w:themeColor="text1"/>
          <w:sz w:val="22"/>
          <w:szCs w:val="22"/>
        </w:rPr>
        <w:t xml:space="preserve">fact that </w:t>
      </w:r>
      <w:r w:rsidR="00620172">
        <w:rPr>
          <w:rFonts w:asciiTheme="minorHAnsi" w:eastAsiaTheme="minorHAnsi" w:hAnsiTheme="minorHAnsi"/>
          <w:color w:val="000000" w:themeColor="text1"/>
          <w:sz w:val="22"/>
          <w:szCs w:val="22"/>
        </w:rPr>
        <w:t>lead</w:t>
      </w:r>
      <w:proofErr w:type="gramEnd"/>
      <w:r w:rsidR="00620172">
        <w:rPr>
          <w:rFonts w:asciiTheme="minorHAnsi" w:eastAsiaTheme="minorHAnsi" w:hAnsiTheme="minorHAnsi"/>
          <w:color w:val="000000" w:themeColor="text1"/>
          <w:sz w:val="22"/>
          <w:szCs w:val="22"/>
        </w:rPr>
        <w:t xml:space="preserve"> time on transfers is typically up to six months, but </w:t>
      </w:r>
      <w:r w:rsidR="00551187">
        <w:rPr>
          <w:rFonts w:asciiTheme="minorHAnsi" w:eastAsiaTheme="minorHAnsi" w:hAnsiTheme="minorHAnsi"/>
          <w:color w:val="000000" w:themeColor="text1"/>
          <w:sz w:val="22"/>
          <w:szCs w:val="22"/>
        </w:rPr>
        <w:t xml:space="preserve">HMT </w:t>
      </w:r>
      <w:r w:rsidR="00F62917">
        <w:rPr>
          <w:rFonts w:asciiTheme="minorHAnsi" w:eastAsiaTheme="minorHAnsi" w:hAnsiTheme="minorHAnsi"/>
          <w:color w:val="000000" w:themeColor="text1"/>
          <w:sz w:val="22"/>
          <w:szCs w:val="22"/>
        </w:rPr>
        <w:t xml:space="preserve">made final </w:t>
      </w:r>
      <w:r w:rsidR="00551187">
        <w:rPr>
          <w:rFonts w:asciiTheme="minorHAnsi" w:eastAsiaTheme="minorHAnsi" w:hAnsiTheme="minorHAnsi"/>
          <w:color w:val="000000" w:themeColor="text1"/>
          <w:sz w:val="22"/>
          <w:szCs w:val="22"/>
        </w:rPr>
        <w:t xml:space="preserve">policy </w:t>
      </w:r>
      <w:r w:rsidR="00F62917">
        <w:rPr>
          <w:rFonts w:asciiTheme="minorHAnsi" w:eastAsiaTheme="minorHAnsi" w:hAnsiTheme="minorHAnsi"/>
          <w:color w:val="000000" w:themeColor="text1"/>
          <w:sz w:val="22"/>
          <w:szCs w:val="22"/>
        </w:rPr>
        <w:t xml:space="preserve">decisions </w:t>
      </w:r>
      <w:r w:rsidR="00620172">
        <w:rPr>
          <w:rFonts w:asciiTheme="minorHAnsi" w:eastAsiaTheme="minorHAnsi" w:hAnsiTheme="minorHAnsi"/>
          <w:color w:val="000000" w:themeColor="text1"/>
          <w:sz w:val="22"/>
          <w:szCs w:val="22"/>
        </w:rPr>
        <w:t>in February</w:t>
      </w:r>
      <w:r w:rsidR="00F62917">
        <w:rPr>
          <w:rFonts w:asciiTheme="minorHAnsi" w:eastAsiaTheme="minorHAnsi" w:hAnsiTheme="minorHAnsi"/>
          <w:color w:val="000000" w:themeColor="text1"/>
          <w:sz w:val="22"/>
          <w:szCs w:val="22"/>
        </w:rPr>
        <w:t>,</w:t>
      </w:r>
      <w:r w:rsidR="00620172">
        <w:rPr>
          <w:rFonts w:asciiTheme="minorHAnsi" w:eastAsiaTheme="minorHAnsi" w:hAnsiTheme="minorHAnsi"/>
          <w:color w:val="000000" w:themeColor="text1"/>
          <w:sz w:val="22"/>
          <w:szCs w:val="22"/>
        </w:rPr>
        <w:t xml:space="preserve"> and </w:t>
      </w:r>
      <w:r w:rsidR="009D31F7">
        <w:rPr>
          <w:rFonts w:asciiTheme="minorHAnsi" w:eastAsiaTheme="minorHAnsi" w:hAnsiTheme="minorHAnsi"/>
          <w:color w:val="000000" w:themeColor="text1"/>
          <w:sz w:val="22"/>
          <w:szCs w:val="22"/>
        </w:rPr>
        <w:t>IFAs were engaging with scheme members very late in the process</w:t>
      </w:r>
      <w:r w:rsidR="00620172">
        <w:rPr>
          <w:rFonts w:asciiTheme="minorHAnsi" w:eastAsiaTheme="minorHAnsi" w:hAnsiTheme="minorHAnsi"/>
          <w:color w:val="000000" w:themeColor="text1"/>
          <w:sz w:val="22"/>
          <w:szCs w:val="22"/>
        </w:rPr>
        <w:t>.  Additionally the scheme is dependent upon inputs from the other scheme</w:t>
      </w:r>
      <w:proofErr w:type="gramStart"/>
      <w:r w:rsidR="00620172">
        <w:rPr>
          <w:rFonts w:asciiTheme="minorHAnsi" w:eastAsiaTheme="minorHAnsi" w:hAnsiTheme="minorHAnsi"/>
          <w:color w:val="000000" w:themeColor="text1"/>
          <w:sz w:val="22"/>
          <w:szCs w:val="22"/>
        </w:rPr>
        <w:t>,  HMRC</w:t>
      </w:r>
      <w:proofErr w:type="gramEnd"/>
      <w:r w:rsidR="00620172">
        <w:rPr>
          <w:rFonts w:asciiTheme="minorHAnsi" w:eastAsiaTheme="minorHAnsi" w:hAnsiTheme="minorHAnsi"/>
          <w:color w:val="000000" w:themeColor="text1"/>
          <w:sz w:val="22"/>
          <w:szCs w:val="22"/>
        </w:rPr>
        <w:t xml:space="preserve"> and the employers before a transfer can be calculated.</w:t>
      </w:r>
      <w:r w:rsidR="00551187">
        <w:rPr>
          <w:rFonts w:asciiTheme="minorHAnsi" w:eastAsiaTheme="minorHAnsi" w:hAnsiTheme="minorHAnsi"/>
          <w:color w:val="000000" w:themeColor="text1"/>
          <w:sz w:val="22"/>
          <w:szCs w:val="22"/>
        </w:rPr>
        <w:t xml:space="preserve"> </w:t>
      </w:r>
    </w:p>
    <w:p w14:paraId="66054F59" w14:textId="77777777" w:rsidR="00551187" w:rsidRDefault="00551187" w:rsidP="00361FF0">
      <w:pPr>
        <w:rPr>
          <w:rFonts w:asciiTheme="minorHAnsi" w:eastAsiaTheme="minorHAnsi" w:hAnsiTheme="minorHAnsi"/>
          <w:color w:val="000000" w:themeColor="text1"/>
          <w:sz w:val="22"/>
          <w:szCs w:val="22"/>
        </w:rPr>
      </w:pPr>
    </w:p>
    <w:p w14:paraId="372A98B7" w14:textId="1C90F23A" w:rsidR="00A3526C" w:rsidRPr="00361FF0" w:rsidRDefault="00551187" w:rsidP="00361FF0">
      <w:pPr>
        <w:rPr>
          <w:rFonts w:asciiTheme="minorHAnsi" w:eastAsiaTheme="minorHAnsi" w:hAnsiTheme="minorHAnsi"/>
          <w:sz w:val="22"/>
          <w:szCs w:val="22"/>
        </w:rPr>
      </w:pPr>
      <w:r>
        <w:rPr>
          <w:rFonts w:asciiTheme="minorHAnsi" w:eastAsiaTheme="minorHAnsi" w:hAnsiTheme="minorHAnsi"/>
          <w:color w:val="000000" w:themeColor="text1"/>
          <w:sz w:val="22"/>
          <w:szCs w:val="22"/>
        </w:rPr>
        <w:t>DfE and T</w:t>
      </w:r>
      <w:r w:rsidR="009D31F7">
        <w:rPr>
          <w:rFonts w:asciiTheme="minorHAnsi" w:eastAsiaTheme="minorHAnsi" w:hAnsiTheme="minorHAnsi"/>
          <w:color w:val="000000" w:themeColor="text1"/>
          <w:sz w:val="22"/>
          <w:szCs w:val="22"/>
        </w:rPr>
        <w:t>P</w:t>
      </w:r>
      <w:r>
        <w:rPr>
          <w:rFonts w:asciiTheme="minorHAnsi" w:eastAsiaTheme="minorHAnsi" w:hAnsiTheme="minorHAnsi"/>
          <w:color w:val="000000" w:themeColor="text1"/>
          <w:sz w:val="22"/>
          <w:szCs w:val="22"/>
        </w:rPr>
        <w:t xml:space="preserve"> have agreed a</w:t>
      </w:r>
      <w:r w:rsidR="00F701EB">
        <w:rPr>
          <w:rFonts w:asciiTheme="minorHAnsi" w:eastAsiaTheme="minorHAnsi" w:hAnsiTheme="minorHAnsi"/>
          <w:color w:val="000000" w:themeColor="text1"/>
          <w:sz w:val="22"/>
          <w:szCs w:val="22"/>
        </w:rPr>
        <w:t xml:space="preserve">n action </w:t>
      </w:r>
      <w:r>
        <w:rPr>
          <w:rFonts w:asciiTheme="minorHAnsi" w:eastAsiaTheme="minorHAnsi" w:hAnsiTheme="minorHAnsi"/>
          <w:color w:val="000000" w:themeColor="text1"/>
          <w:sz w:val="22"/>
          <w:szCs w:val="22"/>
        </w:rPr>
        <w:t xml:space="preserve">plan to bring </w:t>
      </w:r>
      <w:r w:rsidR="001E1691" w:rsidRPr="003900E4">
        <w:rPr>
          <w:rFonts w:asciiTheme="minorHAnsi" w:eastAsiaTheme="minorHAnsi" w:hAnsiTheme="minorHAnsi"/>
          <w:color w:val="000000" w:themeColor="text1"/>
          <w:sz w:val="22"/>
          <w:szCs w:val="22"/>
        </w:rPr>
        <w:t xml:space="preserve">the </w:t>
      </w:r>
      <w:r w:rsidR="009D31F7">
        <w:rPr>
          <w:rFonts w:asciiTheme="minorHAnsi" w:eastAsiaTheme="minorHAnsi" w:hAnsiTheme="minorHAnsi"/>
          <w:color w:val="000000" w:themeColor="text1"/>
          <w:sz w:val="22"/>
          <w:szCs w:val="22"/>
        </w:rPr>
        <w:t>IDRP</w:t>
      </w:r>
      <w:r w:rsidR="001E1691" w:rsidRPr="003900E4">
        <w:rPr>
          <w:rFonts w:asciiTheme="minorHAnsi" w:eastAsiaTheme="minorHAnsi" w:hAnsiTheme="minorHAnsi"/>
          <w:color w:val="000000" w:themeColor="text1"/>
          <w:sz w:val="22"/>
          <w:szCs w:val="22"/>
        </w:rPr>
        <w:t xml:space="preserve"> </w:t>
      </w:r>
      <w:r w:rsidR="00620172">
        <w:rPr>
          <w:rFonts w:asciiTheme="minorHAnsi" w:eastAsiaTheme="minorHAnsi" w:hAnsiTheme="minorHAnsi"/>
          <w:color w:val="000000" w:themeColor="text1"/>
          <w:sz w:val="22"/>
          <w:szCs w:val="22"/>
        </w:rPr>
        <w:t xml:space="preserve">service </w:t>
      </w:r>
      <w:r w:rsidR="001E1691" w:rsidRPr="003900E4">
        <w:rPr>
          <w:rFonts w:asciiTheme="minorHAnsi" w:eastAsiaTheme="minorHAnsi" w:hAnsiTheme="minorHAnsi"/>
          <w:color w:val="000000" w:themeColor="text1"/>
          <w:sz w:val="22"/>
          <w:szCs w:val="22"/>
        </w:rPr>
        <w:t>within target</w:t>
      </w:r>
      <w:r w:rsidR="003900E4" w:rsidRPr="003900E4">
        <w:rPr>
          <w:rFonts w:asciiTheme="minorHAnsi" w:eastAsiaTheme="minorHAnsi" w:hAnsiTheme="minorHAnsi"/>
          <w:color w:val="000000" w:themeColor="text1"/>
          <w:sz w:val="22"/>
          <w:szCs w:val="22"/>
        </w:rPr>
        <w:t>:</w:t>
      </w:r>
      <w:r w:rsidR="001E1691" w:rsidRPr="003900E4">
        <w:rPr>
          <w:rFonts w:asciiTheme="minorHAnsi" w:eastAsiaTheme="minorHAnsi" w:hAnsiTheme="minorHAnsi"/>
          <w:color w:val="000000" w:themeColor="text1"/>
          <w:sz w:val="22"/>
          <w:szCs w:val="22"/>
        </w:rPr>
        <w:t xml:space="preserve"> actions include additional staff for the team</w:t>
      </w:r>
      <w:r w:rsidR="00AC46A4" w:rsidRPr="003900E4">
        <w:rPr>
          <w:rFonts w:asciiTheme="minorHAnsi" w:eastAsiaTheme="minorHAnsi" w:hAnsiTheme="minorHAnsi"/>
          <w:color w:val="000000" w:themeColor="text1"/>
          <w:sz w:val="22"/>
          <w:szCs w:val="22"/>
        </w:rPr>
        <w:t>, a</w:t>
      </w:r>
      <w:r w:rsidR="003900E4" w:rsidRPr="003900E4">
        <w:rPr>
          <w:rFonts w:asciiTheme="minorHAnsi" w:eastAsiaTheme="minorHAnsi" w:hAnsiTheme="minorHAnsi"/>
          <w:color w:val="000000" w:themeColor="text1"/>
          <w:sz w:val="22"/>
          <w:szCs w:val="22"/>
        </w:rPr>
        <w:t xml:space="preserve"> broadening of trained personnel that can deal with this </w:t>
      </w:r>
      <w:r w:rsidR="003900E4">
        <w:rPr>
          <w:rFonts w:asciiTheme="minorHAnsi" w:eastAsiaTheme="minorHAnsi" w:hAnsiTheme="minorHAnsi"/>
          <w:color w:val="000000" w:themeColor="text1"/>
          <w:sz w:val="22"/>
          <w:szCs w:val="22"/>
        </w:rPr>
        <w:t xml:space="preserve">work </w:t>
      </w:r>
      <w:r w:rsidR="003900E4" w:rsidRPr="003900E4">
        <w:rPr>
          <w:rFonts w:asciiTheme="minorHAnsi" w:eastAsiaTheme="minorHAnsi" w:hAnsiTheme="minorHAnsi"/>
          <w:color w:val="000000" w:themeColor="text1"/>
          <w:sz w:val="22"/>
          <w:szCs w:val="22"/>
        </w:rPr>
        <w:t>and specific</w:t>
      </w:r>
      <w:r w:rsidR="002266AC" w:rsidRPr="003900E4">
        <w:rPr>
          <w:rFonts w:asciiTheme="minorHAnsi" w:eastAsiaTheme="minorHAnsi" w:hAnsiTheme="minorHAnsi"/>
          <w:color w:val="000000" w:themeColor="text1"/>
          <w:sz w:val="22"/>
          <w:szCs w:val="22"/>
        </w:rPr>
        <w:t xml:space="preserve"> </w:t>
      </w:r>
      <w:r w:rsidR="009B38C0" w:rsidRPr="003900E4">
        <w:rPr>
          <w:rFonts w:asciiTheme="minorHAnsi" w:eastAsiaTheme="minorHAnsi" w:hAnsiTheme="minorHAnsi"/>
          <w:color w:val="000000" w:themeColor="text1"/>
          <w:sz w:val="22"/>
          <w:szCs w:val="22"/>
        </w:rPr>
        <w:t>r</w:t>
      </w:r>
      <w:r w:rsidR="002266AC" w:rsidRPr="003900E4">
        <w:rPr>
          <w:rFonts w:asciiTheme="minorHAnsi" w:eastAsiaTheme="minorHAnsi" w:hAnsiTheme="minorHAnsi"/>
          <w:color w:val="000000" w:themeColor="text1"/>
          <w:sz w:val="22"/>
          <w:szCs w:val="22"/>
        </w:rPr>
        <w:t>esource</w:t>
      </w:r>
      <w:r w:rsidR="003900E4" w:rsidRPr="003900E4">
        <w:rPr>
          <w:rFonts w:asciiTheme="minorHAnsi" w:eastAsiaTheme="minorHAnsi" w:hAnsiTheme="minorHAnsi"/>
          <w:color w:val="000000" w:themeColor="text1"/>
          <w:sz w:val="22"/>
          <w:szCs w:val="22"/>
        </w:rPr>
        <w:t xml:space="preserve"> </w:t>
      </w:r>
      <w:r w:rsidR="00AC46A4" w:rsidRPr="003900E4">
        <w:rPr>
          <w:rFonts w:asciiTheme="minorHAnsi" w:eastAsiaTheme="minorHAnsi" w:hAnsiTheme="minorHAnsi"/>
          <w:color w:val="000000" w:themeColor="text1"/>
          <w:sz w:val="22"/>
          <w:szCs w:val="22"/>
        </w:rPr>
        <w:t>from within</w:t>
      </w:r>
      <w:r w:rsidR="002266AC" w:rsidRPr="003900E4">
        <w:rPr>
          <w:rFonts w:asciiTheme="minorHAnsi" w:eastAsiaTheme="minorHAnsi" w:hAnsiTheme="minorHAnsi"/>
          <w:color w:val="000000" w:themeColor="text1"/>
          <w:sz w:val="22"/>
          <w:szCs w:val="22"/>
        </w:rPr>
        <w:t xml:space="preserve"> </w:t>
      </w:r>
      <w:r w:rsidR="003900E4" w:rsidRPr="003900E4">
        <w:rPr>
          <w:rFonts w:asciiTheme="minorHAnsi" w:eastAsiaTheme="minorHAnsi" w:hAnsiTheme="minorHAnsi"/>
          <w:color w:val="000000" w:themeColor="text1"/>
          <w:sz w:val="22"/>
          <w:szCs w:val="22"/>
        </w:rPr>
        <w:t xml:space="preserve">the </w:t>
      </w:r>
      <w:r w:rsidR="002266AC" w:rsidRPr="003900E4">
        <w:rPr>
          <w:rFonts w:asciiTheme="minorHAnsi" w:eastAsiaTheme="minorHAnsi" w:hAnsiTheme="minorHAnsi"/>
          <w:color w:val="000000" w:themeColor="text1"/>
          <w:sz w:val="22"/>
          <w:szCs w:val="22"/>
        </w:rPr>
        <w:t>operation</w:t>
      </w:r>
      <w:r w:rsidR="003900E4" w:rsidRPr="003900E4">
        <w:rPr>
          <w:rFonts w:asciiTheme="minorHAnsi" w:eastAsiaTheme="minorHAnsi" w:hAnsiTheme="minorHAnsi"/>
          <w:color w:val="000000" w:themeColor="text1"/>
          <w:sz w:val="22"/>
          <w:szCs w:val="22"/>
        </w:rPr>
        <w:t xml:space="preserve"> to deal with the backlog</w:t>
      </w:r>
      <w:r w:rsidR="003900E4">
        <w:rPr>
          <w:rFonts w:asciiTheme="minorHAnsi" w:eastAsiaTheme="minorHAnsi" w:hAnsiTheme="minorHAnsi"/>
          <w:color w:val="000000" w:themeColor="text1"/>
          <w:sz w:val="22"/>
          <w:szCs w:val="22"/>
        </w:rPr>
        <w:t>.  A</w:t>
      </w:r>
      <w:r w:rsidR="003900E4" w:rsidRPr="003900E4">
        <w:rPr>
          <w:rFonts w:asciiTheme="minorHAnsi" w:eastAsiaTheme="minorHAnsi" w:hAnsiTheme="minorHAnsi"/>
          <w:color w:val="000000" w:themeColor="text1"/>
          <w:sz w:val="22"/>
          <w:szCs w:val="22"/>
        </w:rPr>
        <w:t>s a result</w:t>
      </w:r>
      <w:r w:rsidR="009D31F7">
        <w:rPr>
          <w:rFonts w:asciiTheme="minorHAnsi" w:eastAsiaTheme="minorHAnsi" w:hAnsiTheme="minorHAnsi"/>
          <w:color w:val="000000" w:themeColor="text1"/>
          <w:sz w:val="22"/>
          <w:szCs w:val="22"/>
        </w:rPr>
        <w:t xml:space="preserve">, </w:t>
      </w:r>
      <w:r w:rsidR="00DB4029" w:rsidRPr="003900E4">
        <w:rPr>
          <w:rFonts w:asciiTheme="minorHAnsi" w:eastAsiaTheme="minorHAnsi" w:hAnsiTheme="minorHAnsi"/>
          <w:color w:val="000000" w:themeColor="text1"/>
          <w:sz w:val="22"/>
          <w:szCs w:val="22"/>
        </w:rPr>
        <w:t>performance has improved in April but still is behind target</w:t>
      </w:r>
      <w:r w:rsidR="003900E4" w:rsidRPr="003900E4">
        <w:rPr>
          <w:rFonts w:asciiTheme="minorHAnsi" w:eastAsiaTheme="minorHAnsi" w:hAnsiTheme="minorHAnsi"/>
          <w:color w:val="000000" w:themeColor="text1"/>
          <w:sz w:val="22"/>
          <w:szCs w:val="22"/>
        </w:rPr>
        <w:t xml:space="preserve"> and </w:t>
      </w:r>
      <w:r w:rsidR="00620172">
        <w:rPr>
          <w:rFonts w:asciiTheme="minorHAnsi" w:eastAsiaTheme="minorHAnsi" w:hAnsiTheme="minorHAnsi"/>
          <w:color w:val="000000" w:themeColor="text1"/>
          <w:sz w:val="22"/>
          <w:szCs w:val="22"/>
        </w:rPr>
        <w:t>will remain so as the backlog of late cases is cleared</w:t>
      </w:r>
      <w:r w:rsidR="003D2B34" w:rsidRPr="003900E4">
        <w:rPr>
          <w:rFonts w:asciiTheme="minorHAnsi" w:eastAsiaTheme="minorHAnsi" w:hAnsiTheme="minorHAnsi"/>
          <w:color w:val="000000" w:themeColor="text1"/>
          <w:sz w:val="22"/>
          <w:szCs w:val="22"/>
        </w:rPr>
        <w:t>.</w:t>
      </w:r>
      <w:r w:rsidR="0043108A" w:rsidRPr="003900E4">
        <w:rPr>
          <w:rFonts w:asciiTheme="minorHAnsi" w:eastAsiaTheme="minorHAnsi" w:hAnsiTheme="minorHAnsi"/>
          <w:color w:val="000000" w:themeColor="text1"/>
          <w:sz w:val="22"/>
          <w:szCs w:val="22"/>
        </w:rPr>
        <w:t xml:space="preserve"> </w:t>
      </w:r>
    </w:p>
    <w:p w14:paraId="7831783F" w14:textId="77777777" w:rsidR="00077621" w:rsidRPr="00361FF0" w:rsidRDefault="00077621" w:rsidP="00077621">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077621" w:rsidRPr="00361FF0" w14:paraId="449F43B3" w14:textId="77777777" w:rsidTr="006D78EE">
        <w:tc>
          <w:tcPr>
            <w:tcW w:w="7230" w:type="dxa"/>
          </w:tcPr>
          <w:p w14:paraId="1CDF0BF0" w14:textId="77777777" w:rsidR="00077621" w:rsidRPr="00361FF0" w:rsidRDefault="00077621"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Reform</w:t>
            </w:r>
          </w:p>
          <w:p w14:paraId="33D9C430" w14:textId="77777777" w:rsidR="00077621" w:rsidRPr="00361FF0" w:rsidRDefault="00077621" w:rsidP="006D78EE">
            <w:pPr>
              <w:rPr>
                <w:rFonts w:asciiTheme="minorHAnsi" w:hAnsiTheme="minorHAnsi" w:cs="Arial"/>
                <w:b/>
                <w:sz w:val="22"/>
                <w:szCs w:val="22"/>
              </w:rPr>
            </w:pPr>
          </w:p>
        </w:tc>
        <w:tc>
          <w:tcPr>
            <w:tcW w:w="1134" w:type="dxa"/>
            <w:shd w:val="clear" w:color="auto" w:fill="00B050"/>
          </w:tcPr>
          <w:p w14:paraId="444842A6" w14:textId="77777777" w:rsidR="00077621" w:rsidRPr="00361FF0" w:rsidRDefault="00077621" w:rsidP="006D78EE">
            <w:pPr>
              <w:rPr>
                <w:rFonts w:asciiTheme="minorHAnsi" w:hAnsiTheme="minorHAnsi" w:cs="Calibri"/>
                <w:color w:val="00B050"/>
                <w:sz w:val="22"/>
                <w:szCs w:val="22"/>
              </w:rPr>
            </w:pPr>
          </w:p>
          <w:p w14:paraId="2331B2A6" w14:textId="77777777" w:rsidR="00077621" w:rsidRPr="00361FF0" w:rsidRDefault="00077621" w:rsidP="006D78EE">
            <w:pPr>
              <w:rPr>
                <w:rFonts w:asciiTheme="minorHAnsi" w:hAnsiTheme="minorHAnsi" w:cs="Calibri"/>
                <w:color w:val="00B050"/>
                <w:sz w:val="22"/>
                <w:szCs w:val="22"/>
              </w:rPr>
            </w:pPr>
          </w:p>
        </w:tc>
      </w:tr>
    </w:tbl>
    <w:p w14:paraId="2CF5091D" w14:textId="77777777" w:rsidR="00077621" w:rsidRPr="00361FF0" w:rsidRDefault="00077621" w:rsidP="009F2037">
      <w:pPr>
        <w:rPr>
          <w:rFonts w:asciiTheme="minorHAnsi" w:hAnsiTheme="minorHAnsi"/>
          <w:sz w:val="22"/>
          <w:szCs w:val="22"/>
        </w:rPr>
      </w:pPr>
    </w:p>
    <w:p w14:paraId="4F6B6444" w14:textId="49F2E7B0" w:rsidR="00C167F7" w:rsidRPr="00361FF0" w:rsidRDefault="00077621" w:rsidP="00077621">
      <w:pPr>
        <w:rPr>
          <w:rFonts w:asciiTheme="minorHAnsi" w:hAnsiTheme="minorHAnsi"/>
          <w:color w:val="000000"/>
          <w:sz w:val="22"/>
          <w:szCs w:val="22"/>
        </w:rPr>
      </w:pPr>
      <w:r w:rsidRPr="00361FF0">
        <w:rPr>
          <w:rFonts w:asciiTheme="minorHAnsi" w:hAnsiTheme="minorHAnsi"/>
          <w:sz w:val="22"/>
          <w:szCs w:val="22"/>
        </w:rPr>
        <w:t xml:space="preserve">Implementation of the </w:t>
      </w:r>
      <w:r w:rsidR="000A5635">
        <w:rPr>
          <w:rFonts w:asciiTheme="minorHAnsi" w:hAnsiTheme="minorHAnsi"/>
          <w:sz w:val="22"/>
          <w:szCs w:val="22"/>
        </w:rPr>
        <w:t>Reform changes has</w:t>
      </w:r>
      <w:r w:rsidRPr="00361FF0">
        <w:rPr>
          <w:rFonts w:asciiTheme="minorHAnsi" w:hAnsiTheme="minorHAnsi"/>
          <w:sz w:val="22"/>
          <w:szCs w:val="22"/>
        </w:rPr>
        <w:t xml:space="preserve"> gone well</w:t>
      </w:r>
      <w:r w:rsidR="00C167F7">
        <w:rPr>
          <w:rFonts w:asciiTheme="minorHAnsi" w:hAnsiTheme="minorHAnsi"/>
          <w:sz w:val="22"/>
          <w:szCs w:val="22"/>
        </w:rPr>
        <w:t>;</w:t>
      </w:r>
      <w:r w:rsidRPr="00361FF0">
        <w:rPr>
          <w:rFonts w:asciiTheme="minorHAnsi" w:hAnsiTheme="minorHAnsi"/>
          <w:sz w:val="22"/>
          <w:szCs w:val="22"/>
        </w:rPr>
        <w:t xml:space="preserve"> </w:t>
      </w:r>
      <w:r w:rsidR="00B631F5">
        <w:rPr>
          <w:rFonts w:asciiTheme="minorHAnsi" w:hAnsiTheme="minorHAnsi"/>
          <w:sz w:val="22"/>
          <w:szCs w:val="22"/>
        </w:rPr>
        <w:t xml:space="preserve">this was a significant project jointly </w:t>
      </w:r>
      <w:r w:rsidR="00C167F7">
        <w:rPr>
          <w:rFonts w:asciiTheme="minorHAnsi" w:hAnsiTheme="minorHAnsi"/>
          <w:sz w:val="22"/>
          <w:szCs w:val="22"/>
        </w:rPr>
        <w:t>run by TP and DFE.  I</w:t>
      </w:r>
      <w:r w:rsidR="00B631F5">
        <w:rPr>
          <w:rFonts w:asciiTheme="minorHAnsi" w:hAnsiTheme="minorHAnsi"/>
          <w:sz w:val="22"/>
          <w:szCs w:val="22"/>
        </w:rPr>
        <w:t xml:space="preserve">t </w:t>
      </w:r>
      <w:r w:rsidR="002622AE">
        <w:rPr>
          <w:rFonts w:asciiTheme="minorHAnsi" w:hAnsiTheme="minorHAnsi"/>
          <w:sz w:val="22"/>
          <w:szCs w:val="22"/>
        </w:rPr>
        <w:t>encompassed legislative</w:t>
      </w:r>
      <w:r w:rsidR="00B631F5">
        <w:rPr>
          <w:rFonts w:asciiTheme="minorHAnsi" w:hAnsiTheme="minorHAnsi"/>
          <w:sz w:val="22"/>
          <w:szCs w:val="22"/>
        </w:rPr>
        <w:t xml:space="preserve"> changes, significant changes to systems and processes, a new governance str</w:t>
      </w:r>
      <w:r w:rsidR="00C167F7">
        <w:rPr>
          <w:rFonts w:asciiTheme="minorHAnsi" w:hAnsiTheme="minorHAnsi"/>
          <w:sz w:val="22"/>
          <w:szCs w:val="22"/>
        </w:rPr>
        <w:t>u</w:t>
      </w:r>
      <w:r w:rsidR="00B631F5">
        <w:rPr>
          <w:rFonts w:asciiTheme="minorHAnsi" w:hAnsiTheme="minorHAnsi"/>
          <w:sz w:val="22"/>
          <w:szCs w:val="22"/>
        </w:rPr>
        <w:t>ct</w:t>
      </w:r>
      <w:r w:rsidR="00C167F7">
        <w:rPr>
          <w:rFonts w:asciiTheme="minorHAnsi" w:hAnsiTheme="minorHAnsi"/>
          <w:sz w:val="22"/>
          <w:szCs w:val="22"/>
        </w:rPr>
        <w:t>u</w:t>
      </w:r>
      <w:r w:rsidR="00B631F5">
        <w:rPr>
          <w:rFonts w:asciiTheme="minorHAnsi" w:hAnsiTheme="minorHAnsi"/>
          <w:sz w:val="22"/>
          <w:szCs w:val="22"/>
        </w:rPr>
        <w:t xml:space="preserve">re </w:t>
      </w:r>
      <w:r w:rsidR="00C167F7">
        <w:rPr>
          <w:rFonts w:asciiTheme="minorHAnsi" w:hAnsiTheme="minorHAnsi"/>
          <w:sz w:val="22"/>
          <w:szCs w:val="22"/>
        </w:rPr>
        <w:t xml:space="preserve">and a comprehensive programme of engagement to explain the changes to members and employers.  As part of the implementation </w:t>
      </w:r>
      <w:r w:rsidRPr="00361FF0">
        <w:rPr>
          <w:rFonts w:asciiTheme="minorHAnsi" w:hAnsiTheme="minorHAnsi"/>
          <w:color w:val="000000"/>
          <w:sz w:val="22"/>
          <w:szCs w:val="22"/>
        </w:rPr>
        <w:t xml:space="preserve">contingencies </w:t>
      </w:r>
      <w:r w:rsidR="00C167F7">
        <w:rPr>
          <w:rFonts w:asciiTheme="minorHAnsi" w:hAnsiTheme="minorHAnsi"/>
          <w:color w:val="000000"/>
          <w:sz w:val="22"/>
          <w:szCs w:val="22"/>
        </w:rPr>
        <w:t xml:space="preserve">were </w:t>
      </w:r>
      <w:r w:rsidRPr="00361FF0">
        <w:rPr>
          <w:rFonts w:asciiTheme="minorHAnsi" w:hAnsiTheme="minorHAnsi"/>
          <w:color w:val="000000"/>
          <w:sz w:val="22"/>
          <w:szCs w:val="22"/>
        </w:rPr>
        <w:t>identified to be implemented in response to pre-agreed triggers and escalation paths in place.</w:t>
      </w:r>
      <w:r w:rsidR="00C167F7">
        <w:rPr>
          <w:rFonts w:asciiTheme="minorHAnsi" w:hAnsiTheme="minorHAnsi"/>
          <w:color w:val="000000"/>
          <w:sz w:val="22"/>
          <w:szCs w:val="22"/>
        </w:rPr>
        <w:t xml:space="preserve">  Daily </w:t>
      </w:r>
      <w:r w:rsidR="002622AE">
        <w:rPr>
          <w:rFonts w:asciiTheme="minorHAnsi" w:hAnsiTheme="minorHAnsi"/>
          <w:color w:val="000000"/>
          <w:sz w:val="22"/>
          <w:szCs w:val="22"/>
        </w:rPr>
        <w:t>monitoring</w:t>
      </w:r>
      <w:r w:rsidR="00C167F7">
        <w:rPr>
          <w:rFonts w:asciiTheme="minorHAnsi" w:hAnsiTheme="minorHAnsi"/>
          <w:color w:val="000000"/>
          <w:sz w:val="22"/>
          <w:szCs w:val="22"/>
        </w:rPr>
        <w:t xml:space="preserve"> against these criteria is taking place between TP and the DFE contract management team, so far no escalations have been necessary.  We compare well to other public sector schemes with all elements of the changes in place on time.</w:t>
      </w:r>
      <w:r w:rsidR="00156E98">
        <w:rPr>
          <w:rFonts w:asciiTheme="minorHAnsi" w:hAnsiTheme="minorHAnsi"/>
          <w:color w:val="000000"/>
          <w:sz w:val="22"/>
          <w:szCs w:val="22"/>
        </w:rPr>
        <w:t xml:space="preserve">  This project has now been closed and will be managed </w:t>
      </w:r>
      <w:r w:rsidR="00AC46A4">
        <w:rPr>
          <w:rFonts w:asciiTheme="minorHAnsi" w:hAnsiTheme="minorHAnsi"/>
          <w:color w:val="000000"/>
          <w:sz w:val="22"/>
          <w:szCs w:val="22"/>
        </w:rPr>
        <w:t>through BAU</w:t>
      </w:r>
      <w:r w:rsidR="008B2749">
        <w:rPr>
          <w:rFonts w:asciiTheme="minorHAnsi" w:hAnsiTheme="minorHAnsi"/>
          <w:color w:val="000000"/>
          <w:sz w:val="22"/>
          <w:szCs w:val="22"/>
        </w:rPr>
        <w:t>.</w:t>
      </w:r>
    </w:p>
    <w:p w14:paraId="65F27086" w14:textId="77777777" w:rsidR="00077621" w:rsidRPr="00361FF0" w:rsidRDefault="00077621" w:rsidP="009F2037">
      <w:pPr>
        <w:rPr>
          <w:rFonts w:asciiTheme="minorHAnsi" w:hAnsiTheme="minorHAnsi"/>
          <w:sz w:val="22"/>
          <w:szCs w:val="22"/>
        </w:rPr>
      </w:pPr>
    </w:p>
    <w:p w14:paraId="20D3AD22" w14:textId="77777777" w:rsidR="00077621" w:rsidRDefault="00077621" w:rsidP="00077621">
      <w:pPr>
        <w:jc w:val="center"/>
        <w:rPr>
          <w:rFonts w:asciiTheme="minorHAnsi" w:hAnsiTheme="minorHAnsi" w:cs="Calibri"/>
          <w:b/>
          <w:sz w:val="22"/>
          <w:szCs w:val="22"/>
        </w:rPr>
      </w:pPr>
    </w:p>
    <w:p w14:paraId="3E3DAD8B" w14:textId="77777777" w:rsidR="00F62917" w:rsidRPr="00361FF0" w:rsidRDefault="00F62917" w:rsidP="00077621">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077621" w:rsidRPr="00361FF0" w14:paraId="52FA58E3" w14:textId="77777777" w:rsidTr="006D78EE">
        <w:tc>
          <w:tcPr>
            <w:tcW w:w="7230" w:type="dxa"/>
          </w:tcPr>
          <w:p w14:paraId="73A5ACC4" w14:textId="77777777" w:rsidR="00077621" w:rsidRPr="00361FF0" w:rsidRDefault="00077621"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lastRenderedPageBreak/>
              <w:t>Legislative Changes</w:t>
            </w:r>
          </w:p>
          <w:p w14:paraId="35E1DCFB" w14:textId="77777777" w:rsidR="00077621" w:rsidRPr="00361FF0" w:rsidRDefault="00077621" w:rsidP="006D78EE">
            <w:pPr>
              <w:rPr>
                <w:rFonts w:asciiTheme="minorHAnsi" w:hAnsiTheme="minorHAnsi" w:cs="Arial"/>
                <w:b/>
                <w:sz w:val="22"/>
                <w:szCs w:val="22"/>
              </w:rPr>
            </w:pPr>
          </w:p>
        </w:tc>
        <w:tc>
          <w:tcPr>
            <w:tcW w:w="1134" w:type="dxa"/>
            <w:shd w:val="clear" w:color="auto" w:fill="00B050"/>
          </w:tcPr>
          <w:p w14:paraId="34E753BD" w14:textId="77777777" w:rsidR="00077621" w:rsidRPr="00361FF0" w:rsidRDefault="00077621" w:rsidP="006D78EE">
            <w:pPr>
              <w:rPr>
                <w:rFonts w:asciiTheme="minorHAnsi" w:hAnsiTheme="minorHAnsi" w:cs="Calibri"/>
                <w:color w:val="00B050"/>
                <w:sz w:val="22"/>
                <w:szCs w:val="22"/>
              </w:rPr>
            </w:pPr>
          </w:p>
          <w:p w14:paraId="2984493C" w14:textId="77777777" w:rsidR="00077621" w:rsidRPr="00361FF0" w:rsidRDefault="00077621" w:rsidP="006D78EE">
            <w:pPr>
              <w:rPr>
                <w:rFonts w:asciiTheme="minorHAnsi" w:hAnsiTheme="minorHAnsi" w:cs="Calibri"/>
                <w:color w:val="00B050"/>
                <w:sz w:val="22"/>
                <w:szCs w:val="22"/>
              </w:rPr>
            </w:pPr>
          </w:p>
        </w:tc>
      </w:tr>
    </w:tbl>
    <w:p w14:paraId="6930F15A" w14:textId="77777777" w:rsidR="00077621" w:rsidRPr="00361FF0" w:rsidRDefault="00077621" w:rsidP="00077621">
      <w:pPr>
        <w:rPr>
          <w:rFonts w:asciiTheme="minorHAnsi" w:hAnsiTheme="minorHAnsi"/>
          <w:sz w:val="22"/>
          <w:szCs w:val="22"/>
        </w:rPr>
      </w:pPr>
    </w:p>
    <w:p w14:paraId="15A7F153" w14:textId="054988BB" w:rsidR="00077621" w:rsidRPr="004D4BE4" w:rsidRDefault="00077621" w:rsidP="00077621">
      <w:pPr>
        <w:rPr>
          <w:rFonts w:asciiTheme="minorHAnsi" w:hAnsiTheme="minorHAnsi"/>
          <w:color w:val="000000"/>
          <w:sz w:val="22"/>
          <w:szCs w:val="22"/>
        </w:rPr>
      </w:pPr>
      <w:r w:rsidRPr="004D4BE4">
        <w:rPr>
          <w:rFonts w:asciiTheme="minorHAnsi" w:hAnsiTheme="minorHAnsi"/>
          <w:color w:val="000000"/>
          <w:sz w:val="22"/>
          <w:szCs w:val="22"/>
        </w:rPr>
        <w:t>A</w:t>
      </w:r>
      <w:r w:rsidR="00620172">
        <w:rPr>
          <w:rFonts w:asciiTheme="minorHAnsi" w:hAnsiTheme="minorHAnsi"/>
          <w:color w:val="000000"/>
          <w:sz w:val="22"/>
          <w:szCs w:val="22"/>
        </w:rPr>
        <w:t>s mentioned above, a</w:t>
      </w:r>
      <w:r w:rsidR="00F62917">
        <w:rPr>
          <w:rFonts w:asciiTheme="minorHAnsi" w:hAnsiTheme="minorHAnsi"/>
          <w:color w:val="000000"/>
          <w:sz w:val="22"/>
          <w:szCs w:val="22"/>
        </w:rPr>
        <w:t xml:space="preserve">n </w:t>
      </w:r>
      <w:r w:rsidRPr="004D4BE4">
        <w:rPr>
          <w:rFonts w:asciiTheme="minorHAnsi" w:hAnsiTheme="minorHAnsi"/>
          <w:color w:val="000000"/>
          <w:sz w:val="22"/>
          <w:szCs w:val="22"/>
        </w:rPr>
        <w:t>issue has emerged tha</w:t>
      </w:r>
      <w:r w:rsidR="00991194" w:rsidRPr="004D4BE4">
        <w:rPr>
          <w:rFonts w:asciiTheme="minorHAnsi" w:hAnsiTheme="minorHAnsi"/>
          <w:color w:val="000000"/>
          <w:sz w:val="22"/>
          <w:szCs w:val="22"/>
        </w:rPr>
        <w:t>t may result in some complaints</w:t>
      </w:r>
      <w:r w:rsidRPr="004D4BE4">
        <w:rPr>
          <w:rFonts w:asciiTheme="minorHAnsi" w:hAnsiTheme="minorHAnsi"/>
          <w:color w:val="000000"/>
          <w:sz w:val="22"/>
          <w:szCs w:val="22"/>
        </w:rPr>
        <w:t xml:space="preserve">, mainly driven by Independent Financial Advisors who are keen to earn commission. From 6 April 2015 members </w:t>
      </w:r>
      <w:r w:rsidR="004D4BE4">
        <w:rPr>
          <w:rFonts w:asciiTheme="minorHAnsi" w:hAnsiTheme="minorHAnsi"/>
          <w:color w:val="000000"/>
          <w:sz w:val="22"/>
          <w:szCs w:val="22"/>
        </w:rPr>
        <w:t>became</w:t>
      </w:r>
      <w:r w:rsidRPr="004D4BE4">
        <w:rPr>
          <w:rFonts w:asciiTheme="minorHAnsi" w:hAnsiTheme="minorHAnsi"/>
          <w:color w:val="000000"/>
          <w:sz w:val="22"/>
          <w:szCs w:val="22"/>
        </w:rPr>
        <w:t xml:space="preserve"> unable to transfer out from the TPS to defin</w:t>
      </w:r>
      <w:r w:rsidR="001227A4">
        <w:rPr>
          <w:rFonts w:asciiTheme="minorHAnsi" w:hAnsiTheme="minorHAnsi"/>
          <w:color w:val="000000"/>
          <w:sz w:val="22"/>
          <w:szCs w:val="22"/>
        </w:rPr>
        <w:t>ed contribution pension schemes.  T</w:t>
      </w:r>
      <w:r w:rsidRPr="004D4BE4">
        <w:rPr>
          <w:rFonts w:asciiTheme="minorHAnsi" w:hAnsiTheme="minorHAnsi"/>
          <w:color w:val="000000"/>
          <w:sz w:val="22"/>
          <w:szCs w:val="22"/>
        </w:rPr>
        <w:t>here</w:t>
      </w:r>
      <w:r w:rsidR="004D4BE4">
        <w:rPr>
          <w:rFonts w:asciiTheme="minorHAnsi" w:hAnsiTheme="minorHAnsi"/>
          <w:color w:val="000000"/>
          <w:sz w:val="22"/>
          <w:szCs w:val="22"/>
        </w:rPr>
        <w:t xml:space="preserve"> was </w:t>
      </w:r>
      <w:r w:rsidRPr="004D4BE4">
        <w:rPr>
          <w:rFonts w:asciiTheme="minorHAnsi" w:hAnsiTheme="minorHAnsi"/>
          <w:color w:val="000000"/>
          <w:sz w:val="22"/>
          <w:szCs w:val="22"/>
        </w:rPr>
        <w:t>a</w:t>
      </w:r>
      <w:r w:rsidR="004D4BE4" w:rsidRPr="004D4BE4">
        <w:rPr>
          <w:rFonts w:asciiTheme="minorHAnsi" w:hAnsiTheme="minorHAnsi"/>
          <w:color w:val="000000"/>
          <w:sz w:val="22"/>
          <w:szCs w:val="22"/>
        </w:rPr>
        <w:t xml:space="preserve"> significant </w:t>
      </w:r>
      <w:r w:rsidR="002622AE" w:rsidRPr="004D4BE4">
        <w:rPr>
          <w:rFonts w:asciiTheme="minorHAnsi" w:hAnsiTheme="minorHAnsi"/>
          <w:color w:val="000000"/>
          <w:sz w:val="22"/>
          <w:szCs w:val="22"/>
        </w:rPr>
        <w:t xml:space="preserve">increase </w:t>
      </w:r>
      <w:r w:rsidR="002622AE" w:rsidRPr="004D4BE4">
        <w:rPr>
          <w:rFonts w:asciiTheme="minorHAnsi" w:hAnsiTheme="minorHAnsi"/>
          <w:sz w:val="22"/>
          <w:szCs w:val="22"/>
        </w:rPr>
        <w:t>in</w:t>
      </w:r>
      <w:r w:rsidR="004D4BE4" w:rsidRPr="004D4BE4">
        <w:rPr>
          <w:rFonts w:asciiTheme="minorHAnsi" w:hAnsiTheme="minorHAnsi"/>
          <w:sz w:val="22"/>
          <w:szCs w:val="22"/>
        </w:rPr>
        <w:t xml:space="preserve"> the number of applications as a result </w:t>
      </w:r>
      <w:r w:rsidR="004D4BE4" w:rsidRPr="004D4BE4">
        <w:rPr>
          <w:rFonts w:asciiTheme="minorHAnsi" w:hAnsiTheme="minorHAnsi"/>
          <w:color w:val="000000"/>
          <w:sz w:val="22"/>
          <w:szCs w:val="22"/>
        </w:rPr>
        <w:t xml:space="preserve">(847 applications were completed in March, </w:t>
      </w:r>
      <w:r w:rsidR="00D2509D">
        <w:rPr>
          <w:rFonts w:asciiTheme="minorHAnsi" w:hAnsiTheme="minorHAnsi"/>
          <w:color w:val="000000"/>
          <w:sz w:val="22"/>
          <w:szCs w:val="22"/>
        </w:rPr>
        <w:t xml:space="preserve">a thirteen fold increase from March </w:t>
      </w:r>
      <w:r w:rsidR="00AC46A4">
        <w:rPr>
          <w:rFonts w:asciiTheme="minorHAnsi" w:hAnsiTheme="minorHAnsi"/>
          <w:color w:val="000000"/>
          <w:sz w:val="22"/>
          <w:szCs w:val="22"/>
        </w:rPr>
        <w:t>14)</w:t>
      </w:r>
      <w:r w:rsidRPr="004D4BE4">
        <w:rPr>
          <w:rFonts w:asciiTheme="minorHAnsi" w:hAnsiTheme="minorHAnsi"/>
          <w:color w:val="000000"/>
          <w:sz w:val="22"/>
          <w:szCs w:val="22"/>
        </w:rPr>
        <w:t>.</w:t>
      </w:r>
      <w:r w:rsidR="004D4BE4">
        <w:rPr>
          <w:rFonts w:asciiTheme="minorHAnsi" w:hAnsiTheme="minorHAnsi"/>
          <w:color w:val="000000"/>
          <w:sz w:val="22"/>
          <w:szCs w:val="22"/>
        </w:rPr>
        <w:t xml:space="preserve"> </w:t>
      </w:r>
      <w:r w:rsidRPr="004D4BE4">
        <w:rPr>
          <w:rFonts w:asciiTheme="minorHAnsi" w:hAnsiTheme="minorHAnsi"/>
          <w:color w:val="000000"/>
          <w:sz w:val="22"/>
          <w:szCs w:val="22"/>
        </w:rPr>
        <w:t>TP t</w:t>
      </w:r>
      <w:r w:rsidR="004D4BE4">
        <w:rPr>
          <w:rFonts w:asciiTheme="minorHAnsi" w:hAnsiTheme="minorHAnsi"/>
          <w:color w:val="000000"/>
          <w:sz w:val="22"/>
          <w:szCs w:val="22"/>
        </w:rPr>
        <w:t>oo</w:t>
      </w:r>
      <w:r w:rsidRPr="004D4BE4">
        <w:rPr>
          <w:rFonts w:asciiTheme="minorHAnsi" w:hAnsiTheme="minorHAnsi"/>
          <w:color w:val="000000"/>
          <w:sz w:val="22"/>
          <w:szCs w:val="22"/>
        </w:rPr>
        <w:t>k a number of actions to manage expectations and t</w:t>
      </w:r>
      <w:r w:rsidR="004D4BE4">
        <w:rPr>
          <w:rFonts w:asciiTheme="minorHAnsi" w:hAnsiTheme="minorHAnsi"/>
          <w:color w:val="000000"/>
          <w:sz w:val="22"/>
          <w:szCs w:val="22"/>
        </w:rPr>
        <w:t>ook</w:t>
      </w:r>
      <w:r w:rsidRPr="004D4BE4">
        <w:rPr>
          <w:rFonts w:asciiTheme="minorHAnsi" w:hAnsiTheme="minorHAnsi"/>
          <w:color w:val="000000"/>
          <w:sz w:val="22"/>
          <w:szCs w:val="22"/>
        </w:rPr>
        <w:t xml:space="preserve"> proactive steps to cope with the additional volumes and minimise complaints</w:t>
      </w:r>
      <w:r w:rsidR="00326BD9">
        <w:rPr>
          <w:rFonts w:asciiTheme="minorHAnsi" w:hAnsiTheme="minorHAnsi"/>
          <w:color w:val="000000"/>
          <w:sz w:val="22"/>
          <w:szCs w:val="22"/>
        </w:rPr>
        <w:t xml:space="preserve">. </w:t>
      </w:r>
      <w:r w:rsidR="004D4BE4">
        <w:rPr>
          <w:rFonts w:asciiTheme="minorHAnsi" w:hAnsiTheme="minorHAnsi"/>
          <w:color w:val="000000"/>
          <w:sz w:val="22"/>
          <w:szCs w:val="22"/>
        </w:rPr>
        <w:t xml:space="preserve"> </w:t>
      </w:r>
      <w:r w:rsidR="004D4BE4" w:rsidRPr="004D4BE4">
        <w:rPr>
          <w:rFonts w:asciiTheme="minorHAnsi" w:hAnsiTheme="minorHAnsi"/>
          <w:color w:val="000000"/>
          <w:sz w:val="22"/>
          <w:szCs w:val="22"/>
        </w:rPr>
        <w:t>T</w:t>
      </w:r>
      <w:r w:rsidR="001227A4">
        <w:rPr>
          <w:rFonts w:asciiTheme="minorHAnsi" w:hAnsiTheme="minorHAnsi"/>
          <w:color w:val="000000"/>
          <w:sz w:val="22"/>
          <w:szCs w:val="22"/>
        </w:rPr>
        <w:t>hey</w:t>
      </w:r>
      <w:r w:rsidR="004D4BE4" w:rsidRPr="004D4BE4">
        <w:rPr>
          <w:rFonts w:asciiTheme="minorHAnsi" w:hAnsiTheme="minorHAnsi"/>
          <w:color w:val="000000"/>
          <w:sz w:val="22"/>
          <w:szCs w:val="22"/>
        </w:rPr>
        <w:t xml:space="preserve"> managed to process nearly </w:t>
      </w:r>
      <w:r w:rsidR="002622AE" w:rsidRPr="004D4BE4">
        <w:rPr>
          <w:rFonts w:asciiTheme="minorHAnsi" w:hAnsiTheme="minorHAnsi"/>
          <w:color w:val="000000"/>
          <w:sz w:val="22"/>
          <w:szCs w:val="22"/>
        </w:rPr>
        <w:t>all applications</w:t>
      </w:r>
      <w:r w:rsidR="004D4BE4" w:rsidRPr="004D4BE4">
        <w:rPr>
          <w:rFonts w:asciiTheme="minorHAnsi" w:hAnsiTheme="minorHAnsi"/>
          <w:color w:val="000000"/>
          <w:sz w:val="22"/>
          <w:szCs w:val="22"/>
        </w:rPr>
        <w:t xml:space="preserve"> (where the necessary information had been received from third parties) in time for the deadline, only 71 cases could not be processed in time – all of these were less than 24 hours old.</w:t>
      </w:r>
      <w:r w:rsidRPr="004D4BE4">
        <w:rPr>
          <w:rFonts w:asciiTheme="minorHAnsi" w:hAnsiTheme="minorHAnsi"/>
          <w:color w:val="000000"/>
          <w:sz w:val="22"/>
          <w:szCs w:val="22"/>
        </w:rPr>
        <w:t xml:space="preserve"> </w:t>
      </w:r>
    </w:p>
    <w:p w14:paraId="7C757452" w14:textId="77777777" w:rsidR="00077621" w:rsidRPr="00361FF0" w:rsidRDefault="00077621" w:rsidP="00077621">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077621" w:rsidRPr="00361FF0" w14:paraId="18B1687F" w14:textId="77777777" w:rsidTr="006D78EE">
        <w:tc>
          <w:tcPr>
            <w:tcW w:w="7230" w:type="dxa"/>
          </w:tcPr>
          <w:p w14:paraId="40FC5A96" w14:textId="77777777" w:rsidR="00077621" w:rsidRPr="00361FF0" w:rsidRDefault="00077621"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Relocation</w:t>
            </w:r>
          </w:p>
          <w:p w14:paraId="2C2BFC71" w14:textId="77777777" w:rsidR="00077621" w:rsidRPr="00361FF0" w:rsidRDefault="00077621" w:rsidP="006D78EE">
            <w:pPr>
              <w:rPr>
                <w:rFonts w:asciiTheme="minorHAnsi" w:hAnsiTheme="minorHAnsi" w:cs="Arial"/>
                <w:b/>
                <w:sz w:val="22"/>
                <w:szCs w:val="22"/>
              </w:rPr>
            </w:pPr>
          </w:p>
        </w:tc>
        <w:tc>
          <w:tcPr>
            <w:tcW w:w="1134" w:type="dxa"/>
            <w:shd w:val="clear" w:color="auto" w:fill="00B050"/>
          </w:tcPr>
          <w:p w14:paraId="2E804DA0" w14:textId="77777777" w:rsidR="00077621" w:rsidRPr="00361FF0" w:rsidRDefault="00077621" w:rsidP="006D78EE">
            <w:pPr>
              <w:rPr>
                <w:rFonts w:asciiTheme="minorHAnsi" w:hAnsiTheme="minorHAnsi" w:cs="Calibri"/>
                <w:color w:val="00B050"/>
                <w:sz w:val="22"/>
                <w:szCs w:val="22"/>
              </w:rPr>
            </w:pPr>
          </w:p>
          <w:p w14:paraId="0B2EAD0C" w14:textId="77777777" w:rsidR="00077621" w:rsidRPr="00361FF0" w:rsidRDefault="00077621" w:rsidP="006D78EE">
            <w:pPr>
              <w:rPr>
                <w:rFonts w:asciiTheme="minorHAnsi" w:hAnsiTheme="minorHAnsi" w:cs="Calibri"/>
                <w:color w:val="00B050"/>
                <w:sz w:val="22"/>
                <w:szCs w:val="22"/>
              </w:rPr>
            </w:pPr>
          </w:p>
        </w:tc>
      </w:tr>
    </w:tbl>
    <w:p w14:paraId="6902A062" w14:textId="77777777" w:rsidR="00077621" w:rsidRPr="00361FF0" w:rsidRDefault="00077621" w:rsidP="00077621">
      <w:pPr>
        <w:rPr>
          <w:rFonts w:asciiTheme="minorHAnsi" w:hAnsiTheme="minorHAnsi"/>
          <w:sz w:val="22"/>
          <w:szCs w:val="22"/>
        </w:rPr>
      </w:pPr>
    </w:p>
    <w:p w14:paraId="24CFBE0C" w14:textId="77777777" w:rsidR="00077621" w:rsidRDefault="00077621" w:rsidP="00077621">
      <w:pPr>
        <w:pStyle w:val="DeptBullets"/>
        <w:numPr>
          <w:ilvl w:val="0"/>
          <w:numId w:val="0"/>
        </w:numPr>
        <w:rPr>
          <w:rFonts w:asciiTheme="minorHAnsi" w:hAnsiTheme="minorHAnsi"/>
          <w:sz w:val="22"/>
          <w:szCs w:val="22"/>
        </w:rPr>
      </w:pPr>
      <w:r w:rsidRPr="00361FF0">
        <w:rPr>
          <w:rFonts w:asciiTheme="minorHAnsi" w:hAnsiTheme="minorHAnsi"/>
          <w:sz w:val="22"/>
          <w:szCs w:val="22"/>
        </w:rPr>
        <w:t xml:space="preserve">The Agreement to Lease between Capita Business Services Ltd and Lingfield Point No1 Ltd was signed 23 December.  There are a series of milestone payments (totalling £1.7m) agreed in order to incentivise TP to move out of Mowden Hall on time. The project is going well </w:t>
      </w:r>
      <w:r w:rsidR="002622AE" w:rsidRPr="00361FF0">
        <w:rPr>
          <w:rFonts w:asciiTheme="minorHAnsi" w:hAnsiTheme="minorHAnsi"/>
          <w:sz w:val="22"/>
          <w:szCs w:val="22"/>
        </w:rPr>
        <w:t>and the</w:t>
      </w:r>
      <w:r w:rsidRPr="00361FF0">
        <w:rPr>
          <w:rFonts w:asciiTheme="minorHAnsi" w:hAnsiTheme="minorHAnsi"/>
          <w:sz w:val="22"/>
          <w:szCs w:val="22"/>
        </w:rPr>
        <w:t xml:space="preserve"> contract team have visited the site; future project meetings will be held at the new site to</w:t>
      </w:r>
      <w:r w:rsidR="00991194">
        <w:rPr>
          <w:rFonts w:asciiTheme="minorHAnsi" w:hAnsiTheme="minorHAnsi"/>
          <w:sz w:val="22"/>
          <w:szCs w:val="22"/>
        </w:rPr>
        <w:t xml:space="preserve"> aid monitoring progress.  C</w:t>
      </w:r>
      <w:r w:rsidRPr="00361FF0">
        <w:rPr>
          <w:rFonts w:asciiTheme="minorHAnsi" w:hAnsiTheme="minorHAnsi"/>
          <w:sz w:val="22"/>
          <w:szCs w:val="22"/>
        </w:rPr>
        <w:t>urrently</w:t>
      </w:r>
      <w:r w:rsidR="00991194">
        <w:rPr>
          <w:rFonts w:asciiTheme="minorHAnsi" w:hAnsiTheme="minorHAnsi"/>
          <w:sz w:val="22"/>
          <w:szCs w:val="22"/>
        </w:rPr>
        <w:t>,</w:t>
      </w:r>
      <w:r w:rsidRPr="00361FF0">
        <w:rPr>
          <w:rFonts w:asciiTheme="minorHAnsi" w:hAnsiTheme="minorHAnsi"/>
          <w:sz w:val="22"/>
          <w:szCs w:val="22"/>
        </w:rPr>
        <w:t xml:space="preserve"> the move is planned to take place over 3 weekends, the final weekend being 10 and 11 October 2015.</w:t>
      </w:r>
    </w:p>
    <w:p w14:paraId="50BAA228" w14:textId="77777777" w:rsidR="000F41B2" w:rsidRPr="00361FF0" w:rsidRDefault="000F41B2" w:rsidP="000F41B2">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0F41B2" w:rsidRPr="00361FF0" w14:paraId="48C5CEC2" w14:textId="77777777" w:rsidTr="006D78EE">
        <w:tc>
          <w:tcPr>
            <w:tcW w:w="7230" w:type="dxa"/>
          </w:tcPr>
          <w:p w14:paraId="22EBC388" w14:textId="77777777" w:rsidR="000F41B2" w:rsidRPr="00361FF0" w:rsidRDefault="000F41B2" w:rsidP="006D78EE">
            <w:pPr>
              <w:rPr>
                <w:rFonts w:asciiTheme="minorHAnsi" w:hAnsiTheme="minorHAnsi" w:cs="Arial"/>
                <w:b/>
                <w:color w:val="000000"/>
                <w:sz w:val="22"/>
                <w:szCs w:val="22"/>
                <w:lang w:eastAsia="en-GB"/>
              </w:rPr>
            </w:pPr>
            <w:r>
              <w:rPr>
                <w:rFonts w:asciiTheme="minorHAnsi" w:hAnsiTheme="minorHAnsi" w:cs="Calibri"/>
                <w:b/>
                <w:color w:val="000000"/>
                <w:sz w:val="22"/>
                <w:szCs w:val="22"/>
                <w:lang w:eastAsia="en-GB"/>
              </w:rPr>
              <w:t>Significant Projects</w:t>
            </w:r>
          </w:p>
          <w:p w14:paraId="49B8FA91" w14:textId="77777777" w:rsidR="000F41B2" w:rsidRPr="00361FF0" w:rsidRDefault="000F41B2" w:rsidP="006D78EE">
            <w:pPr>
              <w:rPr>
                <w:rFonts w:asciiTheme="minorHAnsi" w:hAnsiTheme="minorHAnsi" w:cs="Arial"/>
                <w:b/>
                <w:sz w:val="22"/>
                <w:szCs w:val="22"/>
              </w:rPr>
            </w:pPr>
          </w:p>
        </w:tc>
        <w:tc>
          <w:tcPr>
            <w:tcW w:w="1134" w:type="dxa"/>
            <w:shd w:val="clear" w:color="auto" w:fill="00B050"/>
          </w:tcPr>
          <w:p w14:paraId="5871756D" w14:textId="77777777" w:rsidR="000F41B2" w:rsidRPr="00361FF0" w:rsidRDefault="000F41B2" w:rsidP="006D78EE">
            <w:pPr>
              <w:rPr>
                <w:rFonts w:asciiTheme="minorHAnsi" w:hAnsiTheme="minorHAnsi" w:cs="Calibri"/>
                <w:color w:val="00B050"/>
                <w:sz w:val="22"/>
                <w:szCs w:val="22"/>
              </w:rPr>
            </w:pPr>
          </w:p>
          <w:p w14:paraId="13B2ADE4" w14:textId="77777777" w:rsidR="000F41B2" w:rsidRPr="00361FF0" w:rsidRDefault="000F41B2" w:rsidP="006D78EE">
            <w:pPr>
              <w:rPr>
                <w:rFonts w:asciiTheme="minorHAnsi" w:hAnsiTheme="minorHAnsi" w:cs="Calibri"/>
                <w:color w:val="00B050"/>
                <w:sz w:val="22"/>
                <w:szCs w:val="22"/>
              </w:rPr>
            </w:pPr>
          </w:p>
        </w:tc>
      </w:tr>
    </w:tbl>
    <w:p w14:paraId="524F9866" w14:textId="77777777" w:rsidR="008534DF" w:rsidRDefault="008534DF" w:rsidP="00AA4D17">
      <w:pPr>
        <w:rPr>
          <w:rFonts w:asciiTheme="minorHAnsi" w:hAnsiTheme="minorHAnsi"/>
          <w:color w:val="000000" w:themeColor="text1"/>
          <w:sz w:val="22"/>
          <w:szCs w:val="22"/>
        </w:rPr>
      </w:pPr>
    </w:p>
    <w:p w14:paraId="0EAF86E6" w14:textId="37787120" w:rsidR="00BC7D86" w:rsidRPr="00AC46A4" w:rsidRDefault="00AA4D17" w:rsidP="00AA4D17">
      <w:pPr>
        <w:rPr>
          <w:rFonts w:asciiTheme="minorHAnsi" w:hAnsiTheme="minorHAnsi"/>
          <w:color w:val="000000" w:themeColor="text1"/>
          <w:sz w:val="22"/>
          <w:szCs w:val="22"/>
        </w:rPr>
      </w:pPr>
      <w:r w:rsidRPr="00AC46A4">
        <w:rPr>
          <w:rFonts w:asciiTheme="minorHAnsi" w:hAnsiTheme="minorHAnsi"/>
          <w:color w:val="000000" w:themeColor="text1"/>
          <w:sz w:val="22"/>
          <w:szCs w:val="22"/>
        </w:rPr>
        <w:t xml:space="preserve">The </w:t>
      </w:r>
      <w:r w:rsidRPr="00AC46A4">
        <w:rPr>
          <w:rFonts w:asciiTheme="minorHAnsi" w:hAnsiTheme="minorHAnsi"/>
          <w:b/>
          <w:color w:val="000000" w:themeColor="text1"/>
          <w:sz w:val="22"/>
          <w:szCs w:val="22"/>
        </w:rPr>
        <w:t>M</w:t>
      </w:r>
      <w:r w:rsidR="00991194" w:rsidRPr="00AC46A4">
        <w:rPr>
          <w:rFonts w:asciiTheme="minorHAnsi" w:hAnsiTheme="minorHAnsi"/>
          <w:b/>
          <w:color w:val="000000" w:themeColor="text1"/>
          <w:sz w:val="22"/>
          <w:szCs w:val="22"/>
        </w:rPr>
        <w:t xml:space="preserve">onthly </w:t>
      </w:r>
      <w:r w:rsidRPr="00AC46A4">
        <w:rPr>
          <w:rFonts w:asciiTheme="minorHAnsi" w:hAnsiTheme="minorHAnsi"/>
          <w:b/>
          <w:color w:val="000000" w:themeColor="text1"/>
          <w:sz w:val="22"/>
          <w:szCs w:val="22"/>
        </w:rPr>
        <w:t>D</w:t>
      </w:r>
      <w:r w:rsidR="00991194" w:rsidRPr="00AC46A4">
        <w:rPr>
          <w:rFonts w:asciiTheme="minorHAnsi" w:hAnsiTheme="minorHAnsi"/>
          <w:b/>
          <w:color w:val="000000" w:themeColor="text1"/>
          <w:sz w:val="22"/>
          <w:szCs w:val="22"/>
        </w:rPr>
        <w:t xml:space="preserve">ata </w:t>
      </w:r>
      <w:r w:rsidRPr="00AC46A4">
        <w:rPr>
          <w:rFonts w:asciiTheme="minorHAnsi" w:hAnsiTheme="minorHAnsi"/>
          <w:b/>
          <w:color w:val="000000" w:themeColor="text1"/>
          <w:sz w:val="22"/>
          <w:szCs w:val="22"/>
        </w:rPr>
        <w:t>C</w:t>
      </w:r>
      <w:r w:rsidR="00991194" w:rsidRPr="00AC46A4">
        <w:rPr>
          <w:rFonts w:asciiTheme="minorHAnsi" w:hAnsiTheme="minorHAnsi"/>
          <w:b/>
          <w:color w:val="000000" w:themeColor="text1"/>
          <w:sz w:val="22"/>
          <w:szCs w:val="22"/>
        </w:rPr>
        <w:t>ollection</w:t>
      </w:r>
      <w:r w:rsidRPr="00AC46A4">
        <w:rPr>
          <w:rFonts w:asciiTheme="minorHAnsi" w:hAnsiTheme="minorHAnsi"/>
          <w:color w:val="000000" w:themeColor="text1"/>
          <w:sz w:val="22"/>
          <w:szCs w:val="22"/>
        </w:rPr>
        <w:t xml:space="preserve"> solution replaces the Annual Service Return, and other transaction information, </w:t>
      </w:r>
      <w:r w:rsidR="000A5635" w:rsidRPr="00AC46A4">
        <w:rPr>
          <w:rFonts w:asciiTheme="minorHAnsi" w:hAnsiTheme="minorHAnsi"/>
          <w:color w:val="000000" w:themeColor="text1"/>
          <w:sz w:val="22"/>
          <w:szCs w:val="22"/>
        </w:rPr>
        <w:t xml:space="preserve">it </w:t>
      </w:r>
      <w:r w:rsidRPr="00AC46A4">
        <w:rPr>
          <w:rFonts w:asciiTheme="minorHAnsi" w:hAnsiTheme="minorHAnsi"/>
          <w:color w:val="000000" w:themeColor="text1"/>
          <w:sz w:val="22"/>
          <w:szCs w:val="22"/>
        </w:rPr>
        <w:t xml:space="preserve">will provide significant benefit to Members and Employers, such as </w:t>
      </w:r>
      <w:r w:rsidR="002622AE" w:rsidRPr="00AC46A4">
        <w:rPr>
          <w:rFonts w:asciiTheme="minorHAnsi" w:hAnsiTheme="minorHAnsi"/>
          <w:color w:val="000000" w:themeColor="text1"/>
          <w:sz w:val="22"/>
          <w:szCs w:val="22"/>
        </w:rPr>
        <w:t>availability</w:t>
      </w:r>
      <w:r w:rsidR="000A5635" w:rsidRPr="00AC46A4">
        <w:rPr>
          <w:rFonts w:asciiTheme="minorHAnsi" w:hAnsiTheme="minorHAnsi"/>
          <w:color w:val="000000" w:themeColor="text1"/>
          <w:sz w:val="22"/>
          <w:szCs w:val="22"/>
        </w:rPr>
        <w:t xml:space="preserve"> </w:t>
      </w:r>
      <w:r w:rsidRPr="00AC46A4">
        <w:rPr>
          <w:rFonts w:asciiTheme="minorHAnsi" w:hAnsiTheme="minorHAnsi"/>
          <w:color w:val="000000" w:themeColor="text1"/>
          <w:sz w:val="22"/>
          <w:szCs w:val="22"/>
        </w:rPr>
        <w:t xml:space="preserve">of real time information </w:t>
      </w:r>
      <w:r w:rsidR="002622AE" w:rsidRPr="00AC46A4">
        <w:rPr>
          <w:rFonts w:asciiTheme="minorHAnsi" w:hAnsiTheme="minorHAnsi"/>
          <w:color w:val="000000" w:themeColor="text1"/>
          <w:sz w:val="22"/>
          <w:szCs w:val="22"/>
        </w:rPr>
        <w:t>and a</w:t>
      </w:r>
      <w:r w:rsidRPr="00AC46A4">
        <w:rPr>
          <w:rFonts w:asciiTheme="minorHAnsi" w:hAnsiTheme="minorHAnsi"/>
          <w:color w:val="000000" w:themeColor="text1"/>
          <w:sz w:val="22"/>
          <w:szCs w:val="22"/>
        </w:rPr>
        <w:t xml:space="preserve"> reduction in the administrative burden of current processes.  </w:t>
      </w:r>
      <w:r w:rsidR="00E943B9" w:rsidRPr="00AC46A4">
        <w:rPr>
          <w:rFonts w:asciiTheme="minorHAnsi" w:hAnsiTheme="minorHAnsi"/>
          <w:color w:val="000000" w:themeColor="text1"/>
          <w:sz w:val="22"/>
          <w:szCs w:val="22"/>
        </w:rPr>
        <w:t>35 employers (part of the approach assurance group</w:t>
      </w:r>
      <w:r w:rsidR="002622AE" w:rsidRPr="00AC46A4">
        <w:rPr>
          <w:rFonts w:asciiTheme="minorHAnsi" w:hAnsiTheme="minorHAnsi"/>
          <w:color w:val="000000" w:themeColor="text1"/>
          <w:sz w:val="22"/>
          <w:szCs w:val="22"/>
        </w:rPr>
        <w:t>) are</w:t>
      </w:r>
      <w:r w:rsidR="00E943B9" w:rsidRPr="00AC46A4">
        <w:rPr>
          <w:rFonts w:asciiTheme="minorHAnsi" w:hAnsiTheme="minorHAnsi"/>
          <w:color w:val="000000" w:themeColor="text1"/>
          <w:sz w:val="22"/>
          <w:szCs w:val="22"/>
        </w:rPr>
        <w:t xml:space="preserve"> now submitting their data</w:t>
      </w:r>
      <w:r w:rsidR="00BC7D86" w:rsidRPr="00AC46A4">
        <w:rPr>
          <w:rFonts w:asciiTheme="minorHAnsi" w:hAnsiTheme="minorHAnsi"/>
          <w:color w:val="000000" w:themeColor="text1"/>
          <w:sz w:val="22"/>
          <w:szCs w:val="22"/>
        </w:rPr>
        <w:t xml:space="preserve"> into the live system. </w:t>
      </w:r>
      <w:r w:rsidR="00C74109" w:rsidRPr="00AC46A4">
        <w:rPr>
          <w:rFonts w:asciiTheme="minorHAnsi" w:hAnsiTheme="minorHAnsi"/>
          <w:color w:val="000000" w:themeColor="text1"/>
          <w:sz w:val="22"/>
          <w:szCs w:val="22"/>
        </w:rPr>
        <w:t>A</w:t>
      </w:r>
      <w:r w:rsidR="00BC7D86" w:rsidRPr="00AC46A4">
        <w:rPr>
          <w:rFonts w:asciiTheme="minorHAnsi" w:hAnsiTheme="minorHAnsi"/>
          <w:color w:val="000000" w:themeColor="text1"/>
          <w:sz w:val="22"/>
          <w:szCs w:val="22"/>
        </w:rPr>
        <w:t xml:space="preserve"> further 399 Employers</w:t>
      </w:r>
      <w:r w:rsidR="00C74109" w:rsidRPr="00AC46A4">
        <w:rPr>
          <w:rFonts w:asciiTheme="minorHAnsi" w:hAnsiTheme="minorHAnsi"/>
          <w:color w:val="000000" w:themeColor="text1"/>
          <w:sz w:val="22"/>
          <w:szCs w:val="22"/>
        </w:rPr>
        <w:t xml:space="preserve"> (including 15 LAs)</w:t>
      </w:r>
      <w:r w:rsidR="00BC7D86" w:rsidRPr="00AC46A4">
        <w:rPr>
          <w:rFonts w:asciiTheme="minorHAnsi" w:hAnsiTheme="minorHAnsi"/>
          <w:color w:val="000000" w:themeColor="text1"/>
          <w:sz w:val="22"/>
          <w:szCs w:val="22"/>
        </w:rPr>
        <w:t xml:space="preserve"> have declared their intention to </w:t>
      </w:r>
      <w:r w:rsidR="00C74109" w:rsidRPr="00AC46A4">
        <w:rPr>
          <w:rFonts w:asciiTheme="minorHAnsi" w:hAnsiTheme="minorHAnsi"/>
          <w:color w:val="000000" w:themeColor="text1"/>
          <w:sz w:val="22"/>
          <w:szCs w:val="22"/>
        </w:rPr>
        <w:t>on-board</w:t>
      </w:r>
      <w:r w:rsidR="00BC7D86" w:rsidRPr="00AC46A4">
        <w:rPr>
          <w:rFonts w:asciiTheme="minorHAnsi" w:hAnsiTheme="minorHAnsi"/>
          <w:color w:val="000000" w:themeColor="text1"/>
          <w:sz w:val="22"/>
          <w:szCs w:val="22"/>
        </w:rPr>
        <w:t xml:space="preserve"> in May 2015, either individually or as part of a Payroll Provider submission</w:t>
      </w:r>
      <w:r w:rsidR="00C74109" w:rsidRPr="00AC46A4">
        <w:rPr>
          <w:rFonts w:asciiTheme="minorHAnsi" w:hAnsiTheme="minorHAnsi"/>
          <w:color w:val="000000" w:themeColor="text1"/>
          <w:sz w:val="22"/>
          <w:szCs w:val="22"/>
        </w:rPr>
        <w:t>.</w:t>
      </w:r>
      <w:r w:rsidR="00BC7D86" w:rsidRPr="00AC46A4">
        <w:rPr>
          <w:rFonts w:asciiTheme="minorHAnsi" w:hAnsiTheme="minorHAnsi"/>
          <w:color w:val="000000" w:themeColor="text1"/>
          <w:sz w:val="22"/>
          <w:szCs w:val="22"/>
        </w:rPr>
        <w:t xml:space="preserve"> </w:t>
      </w:r>
      <w:r w:rsidR="00991194" w:rsidRPr="00AC46A4">
        <w:rPr>
          <w:rFonts w:asciiTheme="minorHAnsi" w:hAnsiTheme="minorHAnsi"/>
          <w:color w:val="000000" w:themeColor="text1"/>
          <w:sz w:val="22"/>
          <w:szCs w:val="22"/>
        </w:rPr>
        <w:t xml:space="preserve"> The project is on track and </w:t>
      </w:r>
      <w:r w:rsidR="001227A4" w:rsidRPr="00AC46A4">
        <w:rPr>
          <w:rFonts w:asciiTheme="minorHAnsi" w:hAnsiTheme="minorHAnsi"/>
          <w:color w:val="000000" w:themeColor="text1"/>
          <w:sz w:val="22"/>
          <w:szCs w:val="22"/>
        </w:rPr>
        <w:t>the withdraw</w:t>
      </w:r>
      <w:r w:rsidR="00E20DE0" w:rsidRPr="00AC46A4">
        <w:rPr>
          <w:rFonts w:asciiTheme="minorHAnsi" w:hAnsiTheme="minorHAnsi"/>
          <w:color w:val="000000" w:themeColor="text1"/>
          <w:sz w:val="22"/>
          <w:szCs w:val="22"/>
        </w:rPr>
        <w:t>al</w:t>
      </w:r>
      <w:r w:rsidR="001227A4" w:rsidRPr="00AC46A4">
        <w:rPr>
          <w:rFonts w:asciiTheme="minorHAnsi" w:hAnsiTheme="minorHAnsi"/>
          <w:color w:val="000000" w:themeColor="text1"/>
          <w:sz w:val="22"/>
          <w:szCs w:val="22"/>
        </w:rPr>
        <w:t xml:space="preserve"> of other methods of data </w:t>
      </w:r>
      <w:r w:rsidR="002622AE" w:rsidRPr="00AC46A4">
        <w:rPr>
          <w:rFonts w:asciiTheme="minorHAnsi" w:hAnsiTheme="minorHAnsi"/>
          <w:color w:val="000000" w:themeColor="text1"/>
          <w:sz w:val="22"/>
          <w:szCs w:val="22"/>
        </w:rPr>
        <w:t xml:space="preserve">submission </w:t>
      </w:r>
      <w:r w:rsidR="001227A4" w:rsidRPr="00AC46A4">
        <w:rPr>
          <w:rFonts w:asciiTheme="minorHAnsi" w:hAnsiTheme="minorHAnsi"/>
          <w:color w:val="000000" w:themeColor="text1"/>
          <w:sz w:val="22"/>
          <w:szCs w:val="22"/>
        </w:rPr>
        <w:t>i</w:t>
      </w:r>
      <w:r w:rsidR="00991194" w:rsidRPr="00AC46A4">
        <w:rPr>
          <w:rFonts w:asciiTheme="minorHAnsi" w:hAnsiTheme="minorHAnsi"/>
          <w:color w:val="000000" w:themeColor="text1"/>
          <w:sz w:val="22"/>
          <w:szCs w:val="22"/>
        </w:rPr>
        <w:t>s planned to take place April 2018.</w:t>
      </w:r>
    </w:p>
    <w:p w14:paraId="7ED6CF96" w14:textId="77777777" w:rsidR="00991194" w:rsidRPr="00AC46A4" w:rsidRDefault="00991194" w:rsidP="00AA4D17">
      <w:pPr>
        <w:rPr>
          <w:rFonts w:asciiTheme="minorHAnsi" w:hAnsiTheme="minorHAnsi"/>
          <w:color w:val="000000" w:themeColor="text1"/>
          <w:sz w:val="22"/>
          <w:szCs w:val="22"/>
        </w:rPr>
      </w:pPr>
    </w:p>
    <w:p w14:paraId="11E6A9E0" w14:textId="30EB6CDA" w:rsidR="00C73DCA" w:rsidRPr="00AC46A4" w:rsidRDefault="00C73DCA" w:rsidP="00C73DCA">
      <w:pPr>
        <w:rPr>
          <w:rFonts w:asciiTheme="minorHAnsi" w:hAnsiTheme="minorHAnsi"/>
          <w:color w:val="000000" w:themeColor="text1"/>
          <w:sz w:val="22"/>
          <w:szCs w:val="22"/>
        </w:rPr>
      </w:pPr>
      <w:r w:rsidRPr="00AC46A4">
        <w:rPr>
          <w:rFonts w:asciiTheme="minorHAnsi" w:hAnsiTheme="minorHAnsi"/>
          <w:color w:val="000000" w:themeColor="text1"/>
          <w:sz w:val="22"/>
          <w:szCs w:val="22"/>
        </w:rPr>
        <w:t xml:space="preserve">The </w:t>
      </w:r>
      <w:r w:rsidRPr="00AC46A4">
        <w:rPr>
          <w:rFonts w:asciiTheme="minorHAnsi" w:hAnsiTheme="minorHAnsi"/>
          <w:b/>
          <w:color w:val="000000" w:themeColor="text1"/>
          <w:sz w:val="22"/>
          <w:szCs w:val="22"/>
        </w:rPr>
        <w:t>Data Strategy</w:t>
      </w:r>
      <w:r w:rsidRPr="00AC46A4">
        <w:rPr>
          <w:rFonts w:asciiTheme="minorHAnsi" w:hAnsiTheme="minorHAnsi"/>
          <w:color w:val="000000" w:themeColor="text1"/>
          <w:sz w:val="22"/>
          <w:szCs w:val="22"/>
        </w:rPr>
        <w:t xml:space="preserve"> ensures there is early identification and resolution of any issues/concerns regarding data.   TP liaise with the Pensions Regulator in order to keep them informed of our strategy and demonstrate how this supports their requirements in relation to common/conditional data requirements.   There is an ongoing programme of work to cleanse records for members in </w:t>
      </w:r>
      <w:r w:rsidR="00856E25" w:rsidRPr="00AC46A4">
        <w:rPr>
          <w:rFonts w:asciiTheme="minorHAnsi" w:hAnsiTheme="minorHAnsi"/>
          <w:color w:val="000000" w:themeColor="text1"/>
          <w:sz w:val="22"/>
          <w:szCs w:val="22"/>
        </w:rPr>
        <w:t>all age ranges, focussing on those approaching retirement</w:t>
      </w:r>
      <w:r w:rsidR="001227A4" w:rsidRPr="00AC46A4">
        <w:rPr>
          <w:rFonts w:asciiTheme="minorHAnsi" w:hAnsiTheme="minorHAnsi"/>
          <w:color w:val="000000" w:themeColor="text1"/>
          <w:sz w:val="22"/>
          <w:szCs w:val="22"/>
        </w:rPr>
        <w:t xml:space="preserve">, which is on track.  The amber </w:t>
      </w:r>
      <w:r w:rsidR="002622AE" w:rsidRPr="00AC46A4">
        <w:rPr>
          <w:rFonts w:asciiTheme="minorHAnsi" w:hAnsiTheme="minorHAnsi"/>
          <w:color w:val="000000" w:themeColor="text1"/>
          <w:sz w:val="22"/>
          <w:szCs w:val="22"/>
        </w:rPr>
        <w:t>status reflects</w:t>
      </w:r>
      <w:r w:rsidR="001227A4" w:rsidRPr="00AC46A4">
        <w:rPr>
          <w:rFonts w:asciiTheme="minorHAnsi" w:hAnsiTheme="minorHAnsi"/>
          <w:color w:val="000000" w:themeColor="text1"/>
          <w:sz w:val="22"/>
          <w:szCs w:val="22"/>
        </w:rPr>
        <w:t xml:space="preserve"> that some milestones such as amalgamating </w:t>
      </w:r>
      <w:r w:rsidR="000E7C07" w:rsidRPr="00AC46A4">
        <w:rPr>
          <w:rFonts w:asciiTheme="minorHAnsi" w:hAnsiTheme="minorHAnsi"/>
          <w:color w:val="000000" w:themeColor="text1"/>
          <w:sz w:val="22"/>
          <w:szCs w:val="22"/>
        </w:rPr>
        <w:t>employer databases and changes to the S</w:t>
      </w:r>
      <w:r w:rsidR="00D2509D" w:rsidRPr="00AC46A4">
        <w:rPr>
          <w:rFonts w:asciiTheme="minorHAnsi" w:hAnsiTheme="minorHAnsi"/>
          <w:color w:val="000000" w:themeColor="text1"/>
          <w:sz w:val="22"/>
          <w:szCs w:val="22"/>
        </w:rPr>
        <w:t xml:space="preserve">ecure </w:t>
      </w:r>
      <w:r w:rsidR="000E7C07" w:rsidRPr="00AC46A4">
        <w:rPr>
          <w:rFonts w:asciiTheme="minorHAnsi" w:hAnsiTheme="minorHAnsi"/>
          <w:color w:val="000000" w:themeColor="text1"/>
          <w:sz w:val="22"/>
          <w:szCs w:val="22"/>
        </w:rPr>
        <w:t>T</w:t>
      </w:r>
      <w:r w:rsidR="00D2509D" w:rsidRPr="00AC46A4">
        <w:rPr>
          <w:rFonts w:asciiTheme="minorHAnsi" w:hAnsiTheme="minorHAnsi"/>
          <w:color w:val="000000" w:themeColor="text1"/>
          <w:sz w:val="22"/>
          <w:szCs w:val="22"/>
        </w:rPr>
        <w:t xml:space="preserve">ransfer </w:t>
      </w:r>
      <w:r w:rsidR="000E7C07" w:rsidRPr="00AC46A4">
        <w:rPr>
          <w:rFonts w:asciiTheme="minorHAnsi" w:hAnsiTheme="minorHAnsi"/>
          <w:color w:val="000000" w:themeColor="text1"/>
          <w:sz w:val="22"/>
          <w:szCs w:val="22"/>
        </w:rPr>
        <w:t>U</w:t>
      </w:r>
      <w:r w:rsidR="00D2509D" w:rsidRPr="00AC46A4">
        <w:rPr>
          <w:rFonts w:asciiTheme="minorHAnsi" w:hAnsiTheme="minorHAnsi"/>
          <w:color w:val="000000" w:themeColor="text1"/>
          <w:sz w:val="22"/>
          <w:szCs w:val="22"/>
        </w:rPr>
        <w:t>tility</w:t>
      </w:r>
      <w:r w:rsidR="000E7C07" w:rsidRPr="00AC46A4">
        <w:rPr>
          <w:rFonts w:asciiTheme="minorHAnsi" w:hAnsiTheme="minorHAnsi"/>
          <w:color w:val="000000" w:themeColor="text1"/>
          <w:sz w:val="22"/>
          <w:szCs w:val="22"/>
        </w:rPr>
        <w:t xml:space="preserve"> portal are behind schedule.</w:t>
      </w:r>
      <w:r w:rsidR="001227A4" w:rsidRPr="00AC46A4">
        <w:rPr>
          <w:rFonts w:asciiTheme="minorHAnsi" w:hAnsiTheme="minorHAnsi"/>
          <w:color w:val="000000" w:themeColor="text1"/>
          <w:sz w:val="22"/>
          <w:szCs w:val="22"/>
        </w:rPr>
        <w:t xml:space="preserve"> </w:t>
      </w:r>
    </w:p>
    <w:p w14:paraId="590FBDEE" w14:textId="77777777" w:rsidR="00361FF0" w:rsidRPr="00AC46A4" w:rsidRDefault="00361FF0" w:rsidP="00361FF0">
      <w:pPr>
        <w:rPr>
          <w:rFonts w:asciiTheme="minorHAnsi" w:hAnsiTheme="minorHAnsi"/>
          <w:color w:val="000000" w:themeColor="text1"/>
          <w:sz w:val="22"/>
          <w:szCs w:val="22"/>
        </w:rPr>
      </w:pPr>
    </w:p>
    <w:p w14:paraId="4BF63F35" w14:textId="1271F4DB" w:rsidR="002027CA" w:rsidRPr="00AC46A4" w:rsidRDefault="002027CA" w:rsidP="002027CA">
      <w:pPr>
        <w:pStyle w:val="Default"/>
        <w:rPr>
          <w:color w:val="000000" w:themeColor="text1"/>
          <w:sz w:val="22"/>
          <w:szCs w:val="22"/>
        </w:rPr>
      </w:pPr>
      <w:r w:rsidRPr="00AC46A4">
        <w:rPr>
          <w:color w:val="000000" w:themeColor="text1"/>
          <w:sz w:val="22"/>
          <w:szCs w:val="22"/>
        </w:rPr>
        <w:t xml:space="preserve">The </w:t>
      </w:r>
      <w:r w:rsidRPr="00AC46A4">
        <w:rPr>
          <w:b/>
          <w:color w:val="000000" w:themeColor="text1"/>
          <w:sz w:val="22"/>
          <w:szCs w:val="22"/>
        </w:rPr>
        <w:t>Deferred Project</w:t>
      </w:r>
      <w:r w:rsidRPr="00AC46A4">
        <w:rPr>
          <w:color w:val="000000" w:themeColor="text1"/>
          <w:sz w:val="22"/>
          <w:szCs w:val="22"/>
        </w:rPr>
        <w:t xml:space="preserve"> relates to active unclaimed pensions, where a </w:t>
      </w:r>
      <w:r w:rsidR="00D2509D" w:rsidRPr="00AC46A4">
        <w:rPr>
          <w:color w:val="000000" w:themeColor="text1"/>
          <w:sz w:val="22"/>
          <w:szCs w:val="22"/>
        </w:rPr>
        <w:t>m</w:t>
      </w:r>
      <w:r w:rsidRPr="00AC46A4">
        <w:rPr>
          <w:color w:val="000000" w:themeColor="text1"/>
          <w:sz w:val="22"/>
          <w:szCs w:val="22"/>
        </w:rPr>
        <w:t xml:space="preserve">ember has left </w:t>
      </w:r>
      <w:r w:rsidR="00156E98" w:rsidRPr="00AC46A4">
        <w:rPr>
          <w:color w:val="000000" w:themeColor="text1"/>
          <w:sz w:val="22"/>
          <w:szCs w:val="22"/>
        </w:rPr>
        <w:t xml:space="preserve">teaching </w:t>
      </w:r>
      <w:r w:rsidRPr="00AC46A4">
        <w:rPr>
          <w:color w:val="000000" w:themeColor="text1"/>
          <w:sz w:val="22"/>
          <w:szCs w:val="22"/>
        </w:rPr>
        <w:t>and has either not transferred their pension to a new scheme or claimed the</w:t>
      </w:r>
      <w:r w:rsidR="00156E98" w:rsidRPr="00AC46A4">
        <w:rPr>
          <w:color w:val="000000" w:themeColor="text1"/>
          <w:sz w:val="22"/>
          <w:szCs w:val="22"/>
        </w:rPr>
        <w:t>ir pension</w:t>
      </w:r>
      <w:r w:rsidRPr="00AC46A4">
        <w:rPr>
          <w:color w:val="000000" w:themeColor="text1"/>
          <w:sz w:val="22"/>
          <w:szCs w:val="22"/>
        </w:rPr>
        <w:t xml:space="preserve">.   There are currently around 200,000 (estimated) </w:t>
      </w:r>
      <w:r w:rsidR="00D2509D" w:rsidRPr="00AC46A4">
        <w:rPr>
          <w:color w:val="000000" w:themeColor="text1"/>
          <w:sz w:val="22"/>
          <w:szCs w:val="22"/>
        </w:rPr>
        <w:t>d</w:t>
      </w:r>
      <w:r w:rsidRPr="00AC46A4">
        <w:rPr>
          <w:color w:val="000000" w:themeColor="text1"/>
          <w:sz w:val="22"/>
          <w:szCs w:val="22"/>
        </w:rPr>
        <w:t xml:space="preserve">eferred </w:t>
      </w:r>
      <w:r w:rsidR="00D2509D" w:rsidRPr="00AC46A4">
        <w:rPr>
          <w:color w:val="000000" w:themeColor="text1"/>
          <w:sz w:val="22"/>
          <w:szCs w:val="22"/>
        </w:rPr>
        <w:t>p</w:t>
      </w:r>
      <w:r w:rsidRPr="00AC46A4">
        <w:rPr>
          <w:color w:val="000000" w:themeColor="text1"/>
          <w:sz w:val="22"/>
          <w:szCs w:val="22"/>
        </w:rPr>
        <w:t xml:space="preserve">ensioners within Teachers’ Pensions who are of, or will reach, pensionable age during the program. Those not of pensionable age will be handled separately.  The project will involve TP providing a regular extract of </w:t>
      </w:r>
      <w:r w:rsidR="00D2509D" w:rsidRPr="00AC46A4">
        <w:rPr>
          <w:color w:val="000000" w:themeColor="text1"/>
          <w:sz w:val="22"/>
          <w:szCs w:val="22"/>
        </w:rPr>
        <w:t>m</w:t>
      </w:r>
      <w:r w:rsidRPr="00AC46A4">
        <w:rPr>
          <w:color w:val="000000" w:themeColor="text1"/>
          <w:sz w:val="22"/>
          <w:szCs w:val="22"/>
        </w:rPr>
        <w:t xml:space="preserve">ember data (approximately 5,000 per month) to Capita Tracing Services </w:t>
      </w:r>
      <w:r w:rsidRPr="00AC46A4">
        <w:rPr>
          <w:color w:val="000000" w:themeColor="text1"/>
          <w:sz w:val="22"/>
          <w:szCs w:val="22"/>
        </w:rPr>
        <w:lastRenderedPageBreak/>
        <w:t xml:space="preserve">(CTS) for them to perform a tracing exercise, contact those who can be found and ask them to confirm their identity using matching criteria. Once a trace has been confirmed, the </w:t>
      </w:r>
      <w:r w:rsidR="00D2509D" w:rsidRPr="00AC46A4">
        <w:rPr>
          <w:color w:val="000000" w:themeColor="text1"/>
          <w:sz w:val="22"/>
          <w:szCs w:val="22"/>
        </w:rPr>
        <w:t>m</w:t>
      </w:r>
      <w:r w:rsidRPr="00AC46A4">
        <w:rPr>
          <w:color w:val="000000" w:themeColor="text1"/>
          <w:sz w:val="22"/>
          <w:szCs w:val="22"/>
        </w:rPr>
        <w:t xml:space="preserve">ember (where applicable) will be asked to claim either a refund of contributions or payment of benefits.   The project has just started and is due to complete </w:t>
      </w:r>
      <w:r w:rsidR="00856E25" w:rsidRPr="00AC46A4">
        <w:rPr>
          <w:color w:val="000000" w:themeColor="text1"/>
          <w:sz w:val="22"/>
          <w:szCs w:val="22"/>
        </w:rPr>
        <w:t>2019</w:t>
      </w:r>
      <w:r w:rsidRPr="00AC46A4">
        <w:rPr>
          <w:color w:val="000000" w:themeColor="text1"/>
          <w:sz w:val="22"/>
          <w:szCs w:val="22"/>
        </w:rPr>
        <w:t>.</w:t>
      </w:r>
    </w:p>
    <w:p w14:paraId="40E3B5BC" w14:textId="77777777" w:rsidR="00C73DCA" w:rsidRPr="00361FF0" w:rsidRDefault="00C73DCA" w:rsidP="00361FF0">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361FF0" w:rsidRPr="00361FF0" w14:paraId="5752D392" w14:textId="77777777" w:rsidTr="006D78EE">
        <w:tc>
          <w:tcPr>
            <w:tcW w:w="7230" w:type="dxa"/>
          </w:tcPr>
          <w:p w14:paraId="7ABFD332" w14:textId="77777777" w:rsidR="00361FF0" w:rsidRPr="00361FF0" w:rsidRDefault="00361FF0"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Contract Outcomes</w:t>
            </w:r>
          </w:p>
          <w:p w14:paraId="2C162691" w14:textId="77777777" w:rsidR="00361FF0" w:rsidRPr="00361FF0" w:rsidRDefault="00361FF0" w:rsidP="006D78EE">
            <w:pPr>
              <w:rPr>
                <w:rFonts w:asciiTheme="minorHAnsi" w:hAnsiTheme="minorHAnsi" w:cs="Arial"/>
                <w:b/>
                <w:sz w:val="22"/>
                <w:szCs w:val="22"/>
              </w:rPr>
            </w:pPr>
          </w:p>
        </w:tc>
        <w:tc>
          <w:tcPr>
            <w:tcW w:w="1134" w:type="dxa"/>
            <w:shd w:val="clear" w:color="auto" w:fill="00B050"/>
          </w:tcPr>
          <w:p w14:paraId="68D256D3" w14:textId="77777777" w:rsidR="00361FF0" w:rsidRPr="00361FF0" w:rsidRDefault="00361FF0" w:rsidP="006D78EE">
            <w:pPr>
              <w:rPr>
                <w:rFonts w:asciiTheme="minorHAnsi" w:hAnsiTheme="minorHAnsi" w:cs="Calibri"/>
                <w:color w:val="00B050"/>
                <w:sz w:val="22"/>
                <w:szCs w:val="22"/>
              </w:rPr>
            </w:pPr>
          </w:p>
          <w:p w14:paraId="6859C7CC" w14:textId="77777777" w:rsidR="00361FF0" w:rsidRPr="00361FF0" w:rsidRDefault="00361FF0" w:rsidP="006D78EE">
            <w:pPr>
              <w:rPr>
                <w:rFonts w:asciiTheme="minorHAnsi" w:hAnsiTheme="minorHAnsi" w:cs="Calibri"/>
                <w:color w:val="00B050"/>
                <w:sz w:val="22"/>
                <w:szCs w:val="22"/>
              </w:rPr>
            </w:pPr>
          </w:p>
        </w:tc>
      </w:tr>
    </w:tbl>
    <w:p w14:paraId="1F8B688D" w14:textId="77777777" w:rsidR="000F41B2" w:rsidRDefault="000F41B2" w:rsidP="003F771B">
      <w:pPr>
        <w:rPr>
          <w:rFonts w:asciiTheme="minorHAnsi" w:hAnsiTheme="minorHAnsi"/>
          <w:sz w:val="22"/>
          <w:szCs w:val="22"/>
        </w:rPr>
      </w:pPr>
    </w:p>
    <w:p w14:paraId="42369AE6" w14:textId="01552A7B" w:rsidR="003F771B" w:rsidRPr="00AC46A4" w:rsidRDefault="001B0DDF" w:rsidP="003F771B">
      <w:pPr>
        <w:rPr>
          <w:rFonts w:asciiTheme="minorHAnsi" w:eastAsiaTheme="minorHAnsi" w:hAnsiTheme="minorHAnsi"/>
          <w:color w:val="000000" w:themeColor="text1"/>
          <w:sz w:val="22"/>
          <w:szCs w:val="22"/>
        </w:rPr>
      </w:pPr>
      <w:r w:rsidRPr="00AC46A4">
        <w:rPr>
          <w:rFonts w:asciiTheme="minorHAnsi" w:hAnsiTheme="minorHAnsi"/>
          <w:color w:val="000000" w:themeColor="text1"/>
          <w:sz w:val="22"/>
          <w:szCs w:val="22"/>
        </w:rPr>
        <w:t>T</w:t>
      </w:r>
      <w:r w:rsidR="003F771B" w:rsidRPr="00AC46A4">
        <w:rPr>
          <w:rFonts w:asciiTheme="minorHAnsi" w:hAnsiTheme="minorHAnsi"/>
          <w:color w:val="000000" w:themeColor="text1"/>
          <w:sz w:val="22"/>
          <w:szCs w:val="22"/>
        </w:rPr>
        <w:t xml:space="preserve">he </w:t>
      </w:r>
      <w:r w:rsidR="003F771B" w:rsidRPr="00AC46A4">
        <w:rPr>
          <w:rFonts w:asciiTheme="minorHAnsi" w:eastAsiaTheme="minorHAnsi" w:hAnsiTheme="minorHAnsi"/>
          <w:color w:val="000000" w:themeColor="text1"/>
          <w:sz w:val="22"/>
          <w:szCs w:val="22"/>
        </w:rPr>
        <w:t>Outcome Measures were seen as experimental in driving the Member and Employee Engagement</w:t>
      </w:r>
      <w:r w:rsidRPr="00AC46A4">
        <w:rPr>
          <w:rFonts w:asciiTheme="minorHAnsi" w:eastAsiaTheme="minorHAnsi" w:hAnsiTheme="minorHAnsi"/>
          <w:color w:val="000000" w:themeColor="text1"/>
          <w:sz w:val="22"/>
          <w:szCs w:val="22"/>
        </w:rPr>
        <w:t xml:space="preserve"> when the contract was awarded and</w:t>
      </w:r>
      <w:r w:rsidR="003F771B" w:rsidRPr="00AC46A4">
        <w:rPr>
          <w:rFonts w:asciiTheme="minorHAnsi" w:eastAsiaTheme="minorHAnsi" w:hAnsiTheme="minorHAnsi"/>
          <w:color w:val="000000" w:themeColor="text1"/>
          <w:sz w:val="22"/>
          <w:szCs w:val="22"/>
        </w:rPr>
        <w:t xml:space="preserve"> results to date </w:t>
      </w:r>
      <w:r w:rsidRPr="00AC46A4">
        <w:rPr>
          <w:rFonts w:asciiTheme="minorHAnsi" w:eastAsiaTheme="minorHAnsi" w:hAnsiTheme="minorHAnsi"/>
          <w:color w:val="000000" w:themeColor="text1"/>
          <w:sz w:val="22"/>
          <w:szCs w:val="22"/>
        </w:rPr>
        <w:t>reflect that</w:t>
      </w:r>
      <w:r w:rsidR="003F771B" w:rsidRPr="00AC46A4">
        <w:rPr>
          <w:rFonts w:asciiTheme="minorHAnsi" w:eastAsiaTheme="minorHAnsi" w:hAnsiTheme="minorHAnsi"/>
          <w:color w:val="000000" w:themeColor="text1"/>
          <w:sz w:val="22"/>
          <w:szCs w:val="22"/>
        </w:rPr>
        <w:t xml:space="preserve"> and </w:t>
      </w:r>
      <w:r w:rsidR="001F5B4F" w:rsidRPr="00AC46A4">
        <w:rPr>
          <w:rFonts w:asciiTheme="minorHAnsi" w:eastAsiaTheme="minorHAnsi" w:hAnsiTheme="minorHAnsi"/>
          <w:color w:val="000000" w:themeColor="text1"/>
          <w:sz w:val="22"/>
          <w:szCs w:val="22"/>
        </w:rPr>
        <w:t xml:space="preserve">also reflect that </w:t>
      </w:r>
      <w:r w:rsidRPr="00AC46A4">
        <w:rPr>
          <w:rFonts w:asciiTheme="minorHAnsi" w:eastAsiaTheme="minorHAnsi" w:hAnsiTheme="minorHAnsi"/>
          <w:color w:val="000000" w:themeColor="text1"/>
          <w:sz w:val="22"/>
          <w:szCs w:val="22"/>
        </w:rPr>
        <w:t>some of the outcome targets</w:t>
      </w:r>
      <w:r w:rsidR="003F771B" w:rsidRPr="00AC46A4">
        <w:rPr>
          <w:rFonts w:asciiTheme="minorHAnsi" w:eastAsiaTheme="minorHAnsi" w:hAnsiTheme="minorHAnsi"/>
          <w:color w:val="000000" w:themeColor="text1"/>
          <w:sz w:val="22"/>
          <w:szCs w:val="22"/>
        </w:rPr>
        <w:t xml:space="preserve"> were very ambitious.  The contract allows for a review of the Outcomes to be completed after the end of the third contract year, and </w:t>
      </w:r>
      <w:r w:rsidR="00DB1DC4" w:rsidRPr="00AC46A4">
        <w:rPr>
          <w:rFonts w:asciiTheme="minorHAnsi" w:eastAsiaTheme="minorHAnsi" w:hAnsiTheme="minorHAnsi"/>
          <w:color w:val="000000" w:themeColor="text1"/>
          <w:sz w:val="22"/>
          <w:szCs w:val="22"/>
        </w:rPr>
        <w:t>we have</w:t>
      </w:r>
      <w:r w:rsidR="003F771B" w:rsidRPr="00AC46A4">
        <w:rPr>
          <w:rFonts w:asciiTheme="minorHAnsi" w:eastAsiaTheme="minorHAnsi" w:hAnsiTheme="minorHAnsi"/>
          <w:color w:val="000000" w:themeColor="text1"/>
          <w:sz w:val="22"/>
          <w:szCs w:val="22"/>
        </w:rPr>
        <w:t xml:space="preserve"> start</w:t>
      </w:r>
      <w:r w:rsidR="00DB1DC4" w:rsidRPr="00AC46A4">
        <w:rPr>
          <w:rFonts w:asciiTheme="minorHAnsi" w:eastAsiaTheme="minorHAnsi" w:hAnsiTheme="minorHAnsi"/>
          <w:color w:val="000000" w:themeColor="text1"/>
          <w:sz w:val="22"/>
          <w:szCs w:val="22"/>
        </w:rPr>
        <w:t>ed</w:t>
      </w:r>
      <w:r w:rsidR="003F771B" w:rsidRPr="00AC46A4">
        <w:rPr>
          <w:rFonts w:asciiTheme="minorHAnsi" w:eastAsiaTheme="minorHAnsi" w:hAnsiTheme="minorHAnsi"/>
          <w:color w:val="000000" w:themeColor="text1"/>
          <w:sz w:val="22"/>
          <w:szCs w:val="22"/>
        </w:rPr>
        <w:t xml:space="preserve"> this activity</w:t>
      </w:r>
      <w:r w:rsidR="00E97659" w:rsidRPr="00AC46A4">
        <w:rPr>
          <w:rFonts w:asciiTheme="minorHAnsi" w:eastAsiaTheme="minorHAnsi" w:hAnsiTheme="minorHAnsi"/>
          <w:color w:val="000000" w:themeColor="text1"/>
          <w:sz w:val="22"/>
          <w:szCs w:val="22"/>
        </w:rPr>
        <w:t>, which was delayed whilst the extension work was completed</w:t>
      </w:r>
      <w:r w:rsidR="004C4A2E" w:rsidRPr="00AC46A4">
        <w:rPr>
          <w:rFonts w:asciiTheme="minorHAnsi" w:eastAsiaTheme="minorHAnsi" w:hAnsiTheme="minorHAnsi"/>
          <w:color w:val="000000" w:themeColor="text1"/>
          <w:sz w:val="22"/>
          <w:szCs w:val="22"/>
        </w:rPr>
        <w:t xml:space="preserve">.  Capita have brought in resources including their Business Intelligence Director and </w:t>
      </w:r>
      <w:r w:rsidR="00502204" w:rsidRPr="00AC46A4">
        <w:rPr>
          <w:rFonts w:asciiTheme="minorHAnsi" w:hAnsiTheme="minorHAnsi"/>
          <w:color w:val="000000" w:themeColor="text1"/>
          <w:sz w:val="22"/>
          <w:szCs w:val="22"/>
        </w:rPr>
        <w:t>Chief Data Scientist</w:t>
      </w:r>
      <w:r w:rsidR="004C4A2E" w:rsidRPr="00AC46A4">
        <w:rPr>
          <w:rFonts w:asciiTheme="minorHAnsi" w:eastAsiaTheme="minorHAnsi" w:hAnsiTheme="minorHAnsi"/>
          <w:color w:val="000000" w:themeColor="text1"/>
          <w:sz w:val="22"/>
          <w:szCs w:val="22"/>
        </w:rPr>
        <w:t xml:space="preserve"> to ensure the review is as effective as possible.  Work is falling </w:t>
      </w:r>
      <w:r w:rsidR="001F5B4F" w:rsidRPr="00AC46A4">
        <w:rPr>
          <w:rFonts w:asciiTheme="minorHAnsi" w:eastAsiaTheme="minorHAnsi" w:hAnsiTheme="minorHAnsi"/>
          <w:color w:val="000000" w:themeColor="text1"/>
          <w:sz w:val="22"/>
          <w:szCs w:val="22"/>
        </w:rPr>
        <w:t xml:space="preserve">into two streams </w:t>
      </w:r>
      <w:r w:rsidR="004C4A2E" w:rsidRPr="00AC46A4">
        <w:rPr>
          <w:rFonts w:asciiTheme="minorHAnsi" w:eastAsiaTheme="minorHAnsi" w:hAnsiTheme="minorHAnsi"/>
          <w:color w:val="000000" w:themeColor="text1"/>
          <w:sz w:val="22"/>
          <w:szCs w:val="22"/>
        </w:rPr>
        <w:t xml:space="preserve">at </w:t>
      </w:r>
      <w:r w:rsidR="002622AE" w:rsidRPr="00AC46A4">
        <w:rPr>
          <w:rFonts w:asciiTheme="minorHAnsi" w:eastAsiaTheme="minorHAnsi" w:hAnsiTheme="minorHAnsi"/>
          <w:color w:val="000000" w:themeColor="text1"/>
          <w:sz w:val="22"/>
          <w:szCs w:val="22"/>
        </w:rPr>
        <w:t>present;</w:t>
      </w:r>
      <w:r w:rsidR="00502204" w:rsidRPr="00AC46A4">
        <w:rPr>
          <w:rFonts w:asciiTheme="minorHAnsi" w:eastAsiaTheme="minorHAnsi" w:hAnsiTheme="minorHAnsi"/>
          <w:color w:val="000000" w:themeColor="text1"/>
          <w:sz w:val="22"/>
          <w:szCs w:val="22"/>
        </w:rPr>
        <w:t xml:space="preserve"> the first is </w:t>
      </w:r>
      <w:r w:rsidR="004C4A2E" w:rsidRPr="00AC46A4">
        <w:rPr>
          <w:rFonts w:asciiTheme="minorHAnsi" w:eastAsiaTheme="minorHAnsi" w:hAnsiTheme="minorHAnsi"/>
          <w:color w:val="000000" w:themeColor="text1"/>
          <w:sz w:val="22"/>
          <w:szCs w:val="22"/>
        </w:rPr>
        <w:t>tactical innovations</w:t>
      </w:r>
      <w:r w:rsidR="00502204" w:rsidRPr="00AC46A4">
        <w:rPr>
          <w:rFonts w:asciiTheme="minorHAnsi" w:eastAsiaTheme="minorHAnsi" w:hAnsiTheme="minorHAnsi"/>
          <w:color w:val="000000" w:themeColor="text1"/>
          <w:sz w:val="22"/>
          <w:szCs w:val="22"/>
        </w:rPr>
        <w:t>,</w:t>
      </w:r>
      <w:r w:rsidR="004C4A2E" w:rsidRPr="00AC46A4">
        <w:rPr>
          <w:rFonts w:asciiTheme="minorHAnsi" w:eastAsiaTheme="minorHAnsi" w:hAnsiTheme="minorHAnsi"/>
          <w:color w:val="000000" w:themeColor="text1"/>
          <w:sz w:val="22"/>
          <w:szCs w:val="22"/>
        </w:rPr>
        <w:t xml:space="preserve"> mainly in the area of service to members and employers with a much increased emphasis on immediate measurement of customer satisfaction</w:t>
      </w:r>
      <w:r w:rsidR="00502204" w:rsidRPr="00AC46A4">
        <w:rPr>
          <w:rFonts w:asciiTheme="minorHAnsi" w:eastAsiaTheme="minorHAnsi" w:hAnsiTheme="minorHAnsi"/>
          <w:color w:val="000000" w:themeColor="text1"/>
          <w:sz w:val="22"/>
          <w:szCs w:val="22"/>
        </w:rPr>
        <w:t>.  The second is c</w:t>
      </w:r>
      <w:r w:rsidR="00E15342" w:rsidRPr="00AC46A4">
        <w:rPr>
          <w:rFonts w:asciiTheme="minorHAnsi" w:eastAsiaTheme="minorHAnsi" w:hAnsiTheme="minorHAnsi"/>
          <w:color w:val="000000" w:themeColor="text1"/>
          <w:sz w:val="22"/>
          <w:szCs w:val="22"/>
        </w:rPr>
        <w:t>reating a strategic framework that will drive improvements in perceptions of the scheme</w:t>
      </w:r>
      <w:r w:rsidR="004C4A2E" w:rsidRPr="00AC46A4">
        <w:rPr>
          <w:rFonts w:asciiTheme="minorHAnsi" w:eastAsiaTheme="minorHAnsi" w:hAnsiTheme="minorHAnsi"/>
          <w:color w:val="000000" w:themeColor="text1"/>
          <w:sz w:val="22"/>
          <w:szCs w:val="22"/>
        </w:rPr>
        <w:t>.</w:t>
      </w:r>
      <w:r w:rsidR="002027CA" w:rsidRPr="00AC46A4">
        <w:rPr>
          <w:rFonts w:asciiTheme="minorHAnsi" w:eastAsiaTheme="minorHAnsi" w:hAnsiTheme="minorHAnsi"/>
          <w:color w:val="000000" w:themeColor="text1"/>
          <w:sz w:val="22"/>
          <w:szCs w:val="22"/>
        </w:rPr>
        <w:t xml:space="preserve">  A proposal regarding the Year 4 “service orientated” outcomes measures is expected to be agreed by </w:t>
      </w:r>
      <w:r w:rsidR="00156E98" w:rsidRPr="00AC46A4">
        <w:rPr>
          <w:rFonts w:asciiTheme="minorHAnsi" w:eastAsiaTheme="minorHAnsi" w:hAnsiTheme="minorHAnsi"/>
          <w:color w:val="000000" w:themeColor="text1"/>
          <w:sz w:val="22"/>
          <w:szCs w:val="22"/>
        </w:rPr>
        <w:t xml:space="preserve">end of </w:t>
      </w:r>
      <w:r w:rsidR="002027CA" w:rsidRPr="00AC46A4">
        <w:rPr>
          <w:rFonts w:asciiTheme="minorHAnsi" w:eastAsiaTheme="minorHAnsi" w:hAnsiTheme="minorHAnsi"/>
          <w:color w:val="000000" w:themeColor="text1"/>
          <w:sz w:val="22"/>
          <w:szCs w:val="22"/>
        </w:rPr>
        <w:t xml:space="preserve">June 2015 and the full review of the Outcome Measures (including the </w:t>
      </w:r>
      <w:r w:rsidR="000A5635" w:rsidRPr="00AC46A4">
        <w:rPr>
          <w:rFonts w:asciiTheme="minorHAnsi" w:eastAsiaTheme="minorHAnsi" w:hAnsiTheme="minorHAnsi"/>
          <w:color w:val="000000" w:themeColor="text1"/>
          <w:sz w:val="22"/>
          <w:szCs w:val="22"/>
        </w:rPr>
        <w:t>work on changing  “perceptions”) is expected to be in place for the start of contract Year 5 (starts 1.10.2015).</w:t>
      </w:r>
    </w:p>
    <w:p w14:paraId="43E153CE" w14:textId="77777777" w:rsidR="0095214C" w:rsidRPr="00361FF0" w:rsidRDefault="0095214C" w:rsidP="003F771B">
      <w:pPr>
        <w:rPr>
          <w:rFonts w:asciiTheme="minorHAnsi" w:eastAsiaTheme="minorHAnsi" w:hAnsiTheme="minorHAnsi"/>
          <w:sz w:val="22"/>
          <w:szCs w:val="22"/>
        </w:rPr>
      </w:pPr>
    </w:p>
    <w:p w14:paraId="3658CF0B" w14:textId="77777777" w:rsidR="00361FF0" w:rsidRPr="00361FF0" w:rsidRDefault="00361FF0" w:rsidP="00361FF0">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361FF0" w:rsidRPr="00361FF0" w14:paraId="1DCE0F03" w14:textId="77777777" w:rsidTr="006D78EE">
        <w:tc>
          <w:tcPr>
            <w:tcW w:w="7230" w:type="dxa"/>
          </w:tcPr>
          <w:p w14:paraId="080B9E3C" w14:textId="77777777" w:rsidR="00361FF0" w:rsidRPr="00361FF0" w:rsidRDefault="00361FF0"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Stakeholder Update</w:t>
            </w:r>
          </w:p>
          <w:p w14:paraId="40C210FB" w14:textId="77777777" w:rsidR="00361FF0" w:rsidRPr="00361FF0" w:rsidRDefault="00361FF0" w:rsidP="006D78EE">
            <w:pPr>
              <w:rPr>
                <w:rFonts w:asciiTheme="minorHAnsi" w:hAnsiTheme="minorHAnsi" w:cs="Arial"/>
                <w:b/>
                <w:sz w:val="22"/>
                <w:szCs w:val="22"/>
              </w:rPr>
            </w:pPr>
          </w:p>
        </w:tc>
        <w:tc>
          <w:tcPr>
            <w:tcW w:w="1134" w:type="dxa"/>
            <w:shd w:val="clear" w:color="auto" w:fill="00B050"/>
          </w:tcPr>
          <w:p w14:paraId="701234F6" w14:textId="77777777" w:rsidR="00361FF0" w:rsidRPr="00361FF0" w:rsidRDefault="00361FF0" w:rsidP="006D78EE">
            <w:pPr>
              <w:rPr>
                <w:rFonts w:asciiTheme="minorHAnsi" w:hAnsiTheme="minorHAnsi" w:cs="Calibri"/>
                <w:color w:val="00B050"/>
                <w:sz w:val="22"/>
                <w:szCs w:val="22"/>
              </w:rPr>
            </w:pPr>
          </w:p>
          <w:p w14:paraId="0586C206" w14:textId="77777777" w:rsidR="00361FF0" w:rsidRPr="00361FF0" w:rsidRDefault="00361FF0" w:rsidP="006D78EE">
            <w:pPr>
              <w:rPr>
                <w:rFonts w:asciiTheme="minorHAnsi" w:hAnsiTheme="minorHAnsi" w:cs="Calibri"/>
                <w:color w:val="00B050"/>
                <w:sz w:val="22"/>
                <w:szCs w:val="22"/>
              </w:rPr>
            </w:pPr>
          </w:p>
        </w:tc>
      </w:tr>
    </w:tbl>
    <w:p w14:paraId="0522ADBA" w14:textId="77777777" w:rsidR="00361FF0" w:rsidRPr="00361FF0" w:rsidRDefault="00361FF0" w:rsidP="00361FF0">
      <w:pPr>
        <w:rPr>
          <w:rFonts w:asciiTheme="minorHAnsi" w:hAnsiTheme="minorHAnsi"/>
          <w:sz w:val="22"/>
          <w:szCs w:val="22"/>
        </w:rPr>
      </w:pPr>
    </w:p>
    <w:p w14:paraId="37AA5C1F" w14:textId="51A4CFA6" w:rsidR="00F7540E" w:rsidRPr="00F7540E" w:rsidRDefault="00F7540E" w:rsidP="00F7540E">
      <w:pPr>
        <w:rPr>
          <w:rFonts w:asciiTheme="minorHAnsi" w:hAnsiTheme="minorHAnsi"/>
          <w:sz w:val="22"/>
          <w:szCs w:val="22"/>
        </w:rPr>
      </w:pPr>
      <w:r>
        <w:rPr>
          <w:rFonts w:asciiTheme="minorHAnsi" w:hAnsiTheme="minorHAnsi"/>
          <w:sz w:val="22"/>
          <w:szCs w:val="22"/>
        </w:rPr>
        <w:t xml:space="preserve">There two main stakeholder </w:t>
      </w:r>
      <w:r w:rsidR="00AC46A4">
        <w:rPr>
          <w:rFonts w:asciiTheme="minorHAnsi" w:hAnsiTheme="minorHAnsi"/>
          <w:sz w:val="22"/>
          <w:szCs w:val="22"/>
        </w:rPr>
        <w:t>groups</w:t>
      </w:r>
      <w:r>
        <w:rPr>
          <w:rFonts w:asciiTheme="minorHAnsi" w:hAnsiTheme="minorHAnsi"/>
          <w:sz w:val="22"/>
          <w:szCs w:val="22"/>
        </w:rPr>
        <w:t xml:space="preserve">:  Teacher Pensions Action Forum and TP Administration Review Group.  </w:t>
      </w:r>
      <w:r w:rsidRPr="00F7540E">
        <w:rPr>
          <w:rFonts w:asciiTheme="minorHAnsi" w:hAnsiTheme="minorHAnsi"/>
          <w:sz w:val="22"/>
          <w:szCs w:val="22"/>
        </w:rPr>
        <w:t>The Teachers’ Pensions Action Forum (TPAF) is a T</w:t>
      </w:r>
      <w:r>
        <w:rPr>
          <w:rFonts w:asciiTheme="minorHAnsi" w:hAnsiTheme="minorHAnsi"/>
          <w:sz w:val="22"/>
          <w:szCs w:val="22"/>
        </w:rPr>
        <w:t xml:space="preserve">eachers’ </w:t>
      </w:r>
      <w:r w:rsidR="00AC46A4">
        <w:rPr>
          <w:rFonts w:asciiTheme="minorHAnsi" w:hAnsiTheme="minorHAnsi"/>
          <w:sz w:val="22"/>
          <w:szCs w:val="22"/>
        </w:rPr>
        <w:t xml:space="preserve">Pensions </w:t>
      </w:r>
      <w:r>
        <w:rPr>
          <w:rFonts w:asciiTheme="minorHAnsi" w:hAnsiTheme="minorHAnsi"/>
          <w:sz w:val="22"/>
          <w:szCs w:val="22"/>
        </w:rPr>
        <w:t>led meeting</w:t>
      </w:r>
      <w:r w:rsidRPr="00F7540E">
        <w:rPr>
          <w:rFonts w:asciiTheme="minorHAnsi" w:hAnsiTheme="minorHAnsi"/>
          <w:sz w:val="22"/>
          <w:szCs w:val="22"/>
        </w:rPr>
        <w:t>, that brings together representatives from the TPS, the DfE, unions, employers, members and other interested third parties to raise issues, and provide a forum for feedback and views on potential options and developments.</w:t>
      </w:r>
      <w:r>
        <w:rPr>
          <w:rFonts w:asciiTheme="minorHAnsi" w:hAnsiTheme="minorHAnsi"/>
          <w:sz w:val="22"/>
          <w:szCs w:val="22"/>
        </w:rPr>
        <w:t xml:space="preserve">  </w:t>
      </w:r>
      <w:r w:rsidRPr="00F7540E">
        <w:rPr>
          <w:rFonts w:asciiTheme="minorHAnsi" w:hAnsiTheme="minorHAnsi"/>
          <w:sz w:val="22"/>
          <w:szCs w:val="22"/>
        </w:rPr>
        <w:t>The purpose of the TP Administration Review Group is to review previous, and inform future, delivery of pension administration services to customers of the Teachers’ Pension Scheme.</w:t>
      </w:r>
      <w:r>
        <w:rPr>
          <w:rFonts w:asciiTheme="minorHAnsi" w:hAnsiTheme="minorHAnsi"/>
          <w:sz w:val="22"/>
          <w:szCs w:val="22"/>
        </w:rPr>
        <w:t xml:space="preserve">  </w:t>
      </w:r>
      <w:r w:rsidR="00326BD9">
        <w:rPr>
          <w:rFonts w:asciiTheme="minorHAnsi" w:hAnsiTheme="minorHAnsi"/>
          <w:sz w:val="22"/>
          <w:szCs w:val="22"/>
        </w:rPr>
        <w:t xml:space="preserve">The meeting is </w:t>
      </w:r>
      <w:proofErr w:type="spellStart"/>
      <w:r w:rsidR="00326BD9">
        <w:rPr>
          <w:rFonts w:asciiTheme="minorHAnsi" w:hAnsiTheme="minorHAnsi"/>
          <w:sz w:val="22"/>
          <w:szCs w:val="22"/>
        </w:rPr>
        <w:t>lead</w:t>
      </w:r>
      <w:proofErr w:type="spellEnd"/>
      <w:r w:rsidR="00326BD9">
        <w:rPr>
          <w:rFonts w:asciiTheme="minorHAnsi" w:hAnsiTheme="minorHAnsi"/>
          <w:sz w:val="22"/>
          <w:szCs w:val="22"/>
        </w:rPr>
        <w:t xml:space="preserve"> by</w:t>
      </w:r>
      <w:r w:rsidR="008B2749">
        <w:rPr>
          <w:rFonts w:asciiTheme="minorHAnsi" w:hAnsiTheme="minorHAnsi"/>
          <w:sz w:val="22"/>
          <w:szCs w:val="22"/>
        </w:rPr>
        <w:t xml:space="preserve"> the DfE Contract manager</w:t>
      </w:r>
      <w:r w:rsidR="00326BD9">
        <w:rPr>
          <w:rFonts w:asciiTheme="minorHAnsi" w:hAnsiTheme="minorHAnsi"/>
          <w:sz w:val="22"/>
          <w:szCs w:val="22"/>
        </w:rPr>
        <w:t>; attendees are unions, employer and TPS representatives.</w:t>
      </w:r>
    </w:p>
    <w:p w14:paraId="3251136B" w14:textId="77777777" w:rsidR="00F7540E" w:rsidRPr="00361FF0" w:rsidRDefault="00F7540E" w:rsidP="003F771B">
      <w:pPr>
        <w:rPr>
          <w:rFonts w:asciiTheme="minorHAnsi" w:hAnsiTheme="minorHAnsi"/>
          <w:sz w:val="22"/>
          <w:szCs w:val="22"/>
        </w:rPr>
      </w:pPr>
    </w:p>
    <w:p w14:paraId="318B7150" w14:textId="5558D7D8" w:rsidR="00DA58BD" w:rsidRPr="00DA58BD" w:rsidRDefault="00033533" w:rsidP="00DA58BD">
      <w:pPr>
        <w:rPr>
          <w:rFonts w:asciiTheme="minorHAnsi" w:hAnsiTheme="minorHAnsi"/>
          <w:sz w:val="22"/>
          <w:szCs w:val="22"/>
        </w:rPr>
      </w:pPr>
      <w:r w:rsidRPr="00361FF0">
        <w:rPr>
          <w:rFonts w:asciiTheme="minorHAnsi" w:hAnsiTheme="minorHAnsi"/>
          <w:sz w:val="22"/>
          <w:szCs w:val="22"/>
        </w:rPr>
        <w:t>The February</w:t>
      </w:r>
      <w:r w:rsidR="001B0DDF" w:rsidRPr="00361FF0">
        <w:rPr>
          <w:rFonts w:asciiTheme="minorHAnsi" w:hAnsiTheme="minorHAnsi"/>
          <w:sz w:val="22"/>
          <w:szCs w:val="22"/>
        </w:rPr>
        <w:t xml:space="preserve"> T</w:t>
      </w:r>
      <w:r w:rsidR="008B2749">
        <w:rPr>
          <w:rFonts w:asciiTheme="minorHAnsi" w:hAnsiTheme="minorHAnsi"/>
          <w:sz w:val="22"/>
          <w:szCs w:val="22"/>
        </w:rPr>
        <w:t>PAF</w:t>
      </w:r>
      <w:r w:rsidR="001B0DDF" w:rsidRPr="00361FF0">
        <w:rPr>
          <w:rFonts w:asciiTheme="minorHAnsi" w:hAnsiTheme="minorHAnsi"/>
          <w:sz w:val="22"/>
          <w:szCs w:val="22"/>
        </w:rPr>
        <w:t xml:space="preserve"> </w:t>
      </w:r>
      <w:r w:rsidRPr="00361FF0">
        <w:rPr>
          <w:rFonts w:asciiTheme="minorHAnsi" w:hAnsiTheme="minorHAnsi"/>
          <w:sz w:val="22"/>
          <w:szCs w:val="22"/>
        </w:rPr>
        <w:t xml:space="preserve">included </w:t>
      </w:r>
      <w:r w:rsidR="00DA58BD">
        <w:rPr>
          <w:rFonts w:asciiTheme="minorHAnsi" w:hAnsiTheme="minorHAnsi"/>
          <w:sz w:val="22"/>
          <w:szCs w:val="22"/>
        </w:rPr>
        <w:t>a s</w:t>
      </w:r>
      <w:r w:rsidR="00DA58BD" w:rsidRPr="00DA58BD">
        <w:rPr>
          <w:rFonts w:asciiTheme="minorHAnsi" w:hAnsiTheme="minorHAnsi"/>
          <w:sz w:val="22"/>
          <w:szCs w:val="22"/>
        </w:rPr>
        <w:t>ession on employer resp</w:t>
      </w:r>
      <w:r w:rsidR="0046088F">
        <w:rPr>
          <w:rFonts w:asciiTheme="minorHAnsi" w:hAnsiTheme="minorHAnsi"/>
          <w:sz w:val="22"/>
          <w:szCs w:val="22"/>
        </w:rPr>
        <w:t xml:space="preserve">onsibilities and best practice </w:t>
      </w:r>
      <w:r w:rsidR="00DA58BD" w:rsidRPr="00DA58BD">
        <w:rPr>
          <w:rFonts w:asciiTheme="minorHAnsi" w:hAnsiTheme="minorHAnsi"/>
          <w:sz w:val="22"/>
          <w:szCs w:val="22"/>
        </w:rPr>
        <w:t xml:space="preserve">incorporating discussions around definition and recording missing service, </w:t>
      </w:r>
      <w:r w:rsidR="00AC46A4">
        <w:rPr>
          <w:rFonts w:asciiTheme="minorHAnsi" w:hAnsiTheme="minorHAnsi"/>
          <w:sz w:val="22"/>
          <w:szCs w:val="22"/>
        </w:rPr>
        <w:t>TP forms usage</w:t>
      </w:r>
      <w:r w:rsidR="00DA58BD">
        <w:rPr>
          <w:rFonts w:asciiTheme="minorHAnsi" w:hAnsiTheme="minorHAnsi"/>
          <w:sz w:val="22"/>
          <w:szCs w:val="22"/>
        </w:rPr>
        <w:t xml:space="preserve"> and best practice </w:t>
      </w:r>
      <w:r w:rsidR="002622AE">
        <w:rPr>
          <w:rFonts w:asciiTheme="minorHAnsi" w:hAnsiTheme="minorHAnsi"/>
          <w:sz w:val="22"/>
          <w:szCs w:val="22"/>
        </w:rPr>
        <w:t>models and</w:t>
      </w:r>
      <w:r w:rsidR="00C93E71">
        <w:rPr>
          <w:rFonts w:asciiTheme="minorHAnsi" w:hAnsiTheme="minorHAnsi"/>
          <w:sz w:val="22"/>
          <w:szCs w:val="22"/>
        </w:rPr>
        <w:t xml:space="preserve"> on the digital roadmap</w:t>
      </w:r>
      <w:r w:rsidR="00DA58BD">
        <w:rPr>
          <w:rFonts w:asciiTheme="minorHAnsi" w:hAnsiTheme="minorHAnsi"/>
          <w:sz w:val="22"/>
          <w:szCs w:val="22"/>
        </w:rPr>
        <w:t xml:space="preserve">.  </w:t>
      </w:r>
      <w:r w:rsidR="00573373">
        <w:rPr>
          <w:rFonts w:asciiTheme="minorHAnsi" w:hAnsiTheme="minorHAnsi"/>
          <w:sz w:val="22"/>
          <w:szCs w:val="22"/>
        </w:rPr>
        <w:t>There w</w:t>
      </w:r>
      <w:r w:rsidR="00C93E71">
        <w:rPr>
          <w:rFonts w:asciiTheme="minorHAnsi" w:hAnsiTheme="minorHAnsi"/>
          <w:sz w:val="22"/>
          <w:szCs w:val="22"/>
        </w:rPr>
        <w:t>as a</w:t>
      </w:r>
      <w:r w:rsidR="00DA58BD">
        <w:rPr>
          <w:rFonts w:asciiTheme="minorHAnsi" w:hAnsiTheme="minorHAnsi"/>
          <w:sz w:val="22"/>
          <w:szCs w:val="22"/>
        </w:rPr>
        <w:t xml:space="preserve"> presentation</w:t>
      </w:r>
      <w:r w:rsidR="00C93E71">
        <w:rPr>
          <w:rFonts w:asciiTheme="minorHAnsi" w:hAnsiTheme="minorHAnsi"/>
          <w:sz w:val="22"/>
          <w:szCs w:val="22"/>
        </w:rPr>
        <w:t xml:space="preserve"> on</w:t>
      </w:r>
      <w:r w:rsidR="00573373">
        <w:rPr>
          <w:rFonts w:asciiTheme="minorHAnsi" w:hAnsiTheme="minorHAnsi"/>
          <w:sz w:val="22"/>
          <w:szCs w:val="22"/>
        </w:rPr>
        <w:t xml:space="preserve"> how m</w:t>
      </w:r>
      <w:r w:rsidR="00DA58BD" w:rsidRPr="00DA58BD">
        <w:rPr>
          <w:rFonts w:asciiTheme="minorHAnsi" w:hAnsiTheme="minorHAnsi"/>
          <w:sz w:val="22"/>
          <w:szCs w:val="22"/>
        </w:rPr>
        <w:t>ember/employer intelligence</w:t>
      </w:r>
      <w:r w:rsidR="00573373">
        <w:rPr>
          <w:rFonts w:asciiTheme="minorHAnsi" w:hAnsiTheme="minorHAnsi"/>
          <w:sz w:val="22"/>
          <w:szCs w:val="22"/>
        </w:rPr>
        <w:t xml:space="preserve"> is collected and used</w:t>
      </w:r>
      <w:r w:rsidR="00C93E71">
        <w:rPr>
          <w:rFonts w:asciiTheme="minorHAnsi" w:hAnsiTheme="minorHAnsi"/>
          <w:sz w:val="22"/>
          <w:szCs w:val="22"/>
        </w:rPr>
        <w:t>, the group will consider management information they have that can be properly shared to improve engagement with members</w:t>
      </w:r>
      <w:r w:rsidR="00573373">
        <w:rPr>
          <w:rFonts w:asciiTheme="minorHAnsi" w:hAnsiTheme="minorHAnsi"/>
          <w:sz w:val="22"/>
          <w:szCs w:val="22"/>
        </w:rPr>
        <w:t>.</w:t>
      </w:r>
    </w:p>
    <w:p w14:paraId="4D86C9FA" w14:textId="77777777" w:rsidR="00DB1DC4" w:rsidRPr="00361FF0" w:rsidRDefault="00DB1DC4" w:rsidP="001B0DDF">
      <w:pPr>
        <w:rPr>
          <w:rFonts w:asciiTheme="minorHAnsi" w:hAnsiTheme="minorHAnsi"/>
          <w:sz w:val="22"/>
          <w:szCs w:val="22"/>
        </w:rPr>
      </w:pPr>
    </w:p>
    <w:p w14:paraId="0B22B9E7" w14:textId="343BE205" w:rsidR="00E20DE0" w:rsidRPr="00361FF0" w:rsidRDefault="00DB1DC4" w:rsidP="003F771B">
      <w:pPr>
        <w:rPr>
          <w:rFonts w:asciiTheme="minorHAnsi" w:hAnsiTheme="minorHAnsi"/>
          <w:b/>
          <w:sz w:val="22"/>
          <w:szCs w:val="22"/>
        </w:rPr>
      </w:pPr>
      <w:r w:rsidRPr="00361FF0">
        <w:rPr>
          <w:rFonts w:asciiTheme="minorHAnsi" w:hAnsiTheme="minorHAnsi"/>
          <w:sz w:val="22"/>
          <w:szCs w:val="22"/>
        </w:rPr>
        <w:t>The Teachers</w:t>
      </w:r>
      <w:r w:rsidR="00620172">
        <w:rPr>
          <w:rFonts w:asciiTheme="minorHAnsi" w:hAnsiTheme="minorHAnsi"/>
          <w:sz w:val="22"/>
          <w:szCs w:val="22"/>
        </w:rPr>
        <w:t>’</w:t>
      </w:r>
      <w:r w:rsidRPr="00361FF0">
        <w:rPr>
          <w:rFonts w:asciiTheme="minorHAnsi" w:hAnsiTheme="minorHAnsi"/>
          <w:sz w:val="22"/>
          <w:szCs w:val="22"/>
        </w:rPr>
        <w:t xml:space="preserve"> Pensions Administration Review Group met on the same day</w:t>
      </w:r>
      <w:r w:rsidR="00E97659" w:rsidRPr="00361FF0">
        <w:rPr>
          <w:rFonts w:asciiTheme="minorHAnsi" w:hAnsiTheme="minorHAnsi"/>
          <w:sz w:val="22"/>
          <w:szCs w:val="22"/>
        </w:rPr>
        <w:t>,</w:t>
      </w:r>
      <w:r w:rsidRPr="00361FF0">
        <w:rPr>
          <w:rFonts w:asciiTheme="minorHAnsi" w:hAnsiTheme="minorHAnsi"/>
          <w:sz w:val="22"/>
          <w:szCs w:val="22"/>
        </w:rPr>
        <w:t xml:space="preserve"> providing feedback to TP on a number of administration issues</w:t>
      </w:r>
      <w:r w:rsidR="0046088F">
        <w:rPr>
          <w:rFonts w:asciiTheme="minorHAnsi" w:hAnsiTheme="minorHAnsi"/>
          <w:sz w:val="22"/>
          <w:szCs w:val="22"/>
        </w:rPr>
        <w:t>.  The</w:t>
      </w:r>
      <w:r w:rsidR="00C93E71">
        <w:rPr>
          <w:rFonts w:asciiTheme="minorHAnsi" w:hAnsiTheme="minorHAnsi"/>
          <w:sz w:val="22"/>
          <w:szCs w:val="22"/>
        </w:rPr>
        <w:t xml:space="preserve"> </w:t>
      </w:r>
      <w:r w:rsidR="002622AE">
        <w:rPr>
          <w:rFonts w:asciiTheme="minorHAnsi" w:hAnsiTheme="minorHAnsi"/>
          <w:sz w:val="22"/>
          <w:szCs w:val="22"/>
        </w:rPr>
        <w:t>issues included</w:t>
      </w:r>
      <w:r w:rsidR="00573373">
        <w:rPr>
          <w:rFonts w:asciiTheme="minorHAnsi" w:hAnsiTheme="minorHAnsi"/>
          <w:sz w:val="22"/>
          <w:szCs w:val="22"/>
        </w:rPr>
        <w:t xml:space="preserve"> clarification on how</w:t>
      </w:r>
      <w:r w:rsidR="0074164B">
        <w:rPr>
          <w:rFonts w:asciiTheme="minorHAnsi" w:hAnsiTheme="minorHAnsi"/>
          <w:sz w:val="22"/>
          <w:szCs w:val="22"/>
        </w:rPr>
        <w:t xml:space="preserve"> breaks in service are handled and </w:t>
      </w:r>
      <w:r w:rsidR="00573373">
        <w:rPr>
          <w:rFonts w:asciiTheme="minorHAnsi" w:hAnsiTheme="minorHAnsi"/>
          <w:sz w:val="22"/>
          <w:szCs w:val="22"/>
        </w:rPr>
        <w:t xml:space="preserve">difficulties </w:t>
      </w:r>
      <w:r w:rsidR="002622AE">
        <w:rPr>
          <w:rFonts w:asciiTheme="minorHAnsi" w:hAnsiTheme="minorHAnsi"/>
          <w:sz w:val="22"/>
          <w:szCs w:val="22"/>
        </w:rPr>
        <w:t>faced when</w:t>
      </w:r>
      <w:r w:rsidR="00573373">
        <w:rPr>
          <w:rFonts w:asciiTheme="minorHAnsi" w:hAnsiTheme="minorHAnsi"/>
          <w:sz w:val="22"/>
          <w:szCs w:val="22"/>
        </w:rPr>
        <w:t xml:space="preserve"> there is missing service on a member’s record </w:t>
      </w:r>
      <w:r w:rsidR="0074164B">
        <w:rPr>
          <w:rFonts w:asciiTheme="minorHAnsi" w:hAnsiTheme="minorHAnsi"/>
          <w:sz w:val="22"/>
          <w:szCs w:val="22"/>
        </w:rPr>
        <w:t>where</w:t>
      </w:r>
      <w:r w:rsidR="00573373">
        <w:rPr>
          <w:rFonts w:asciiTheme="minorHAnsi" w:hAnsiTheme="minorHAnsi"/>
          <w:sz w:val="22"/>
          <w:szCs w:val="22"/>
        </w:rPr>
        <w:t xml:space="preserve"> the relevant employer no</w:t>
      </w:r>
      <w:r w:rsidRPr="00361FF0">
        <w:rPr>
          <w:rFonts w:asciiTheme="minorHAnsi" w:hAnsiTheme="minorHAnsi"/>
          <w:sz w:val="22"/>
          <w:szCs w:val="22"/>
        </w:rPr>
        <w:t xml:space="preserve"> </w:t>
      </w:r>
      <w:r w:rsidR="00573373">
        <w:rPr>
          <w:rFonts w:asciiTheme="minorHAnsi" w:hAnsiTheme="minorHAnsi"/>
          <w:sz w:val="22"/>
          <w:szCs w:val="22"/>
        </w:rPr>
        <w:t>longer exists (so closed or merged</w:t>
      </w:r>
      <w:r w:rsidR="0046088F">
        <w:rPr>
          <w:rFonts w:asciiTheme="minorHAnsi" w:hAnsiTheme="minorHAnsi"/>
          <w:sz w:val="22"/>
          <w:szCs w:val="22"/>
        </w:rPr>
        <w:t xml:space="preserve"> establishments</w:t>
      </w:r>
      <w:r w:rsidR="00573373">
        <w:rPr>
          <w:rFonts w:asciiTheme="minorHAnsi" w:hAnsiTheme="minorHAnsi"/>
          <w:sz w:val="22"/>
          <w:szCs w:val="22"/>
        </w:rPr>
        <w:t>)</w:t>
      </w:r>
      <w:r w:rsidR="00F30533">
        <w:rPr>
          <w:rFonts w:asciiTheme="minorHAnsi" w:hAnsiTheme="minorHAnsi"/>
          <w:sz w:val="22"/>
          <w:szCs w:val="22"/>
        </w:rPr>
        <w:t>.  The</w:t>
      </w:r>
      <w:r w:rsidR="00C93E71">
        <w:rPr>
          <w:rFonts w:asciiTheme="minorHAnsi" w:hAnsiTheme="minorHAnsi"/>
          <w:sz w:val="22"/>
          <w:szCs w:val="22"/>
        </w:rPr>
        <w:t xml:space="preserve"> group also </w:t>
      </w:r>
      <w:r w:rsidR="00F30533">
        <w:rPr>
          <w:rFonts w:asciiTheme="minorHAnsi" w:hAnsiTheme="minorHAnsi"/>
          <w:sz w:val="22"/>
          <w:szCs w:val="22"/>
        </w:rPr>
        <w:t xml:space="preserve">considered </w:t>
      </w:r>
      <w:r w:rsidR="00573373">
        <w:rPr>
          <w:rFonts w:asciiTheme="minorHAnsi" w:hAnsiTheme="minorHAnsi"/>
          <w:sz w:val="22"/>
          <w:szCs w:val="22"/>
        </w:rPr>
        <w:t xml:space="preserve">the move </w:t>
      </w:r>
      <w:r w:rsidR="0074164B">
        <w:rPr>
          <w:rFonts w:asciiTheme="minorHAnsi" w:hAnsiTheme="minorHAnsi"/>
          <w:sz w:val="22"/>
          <w:szCs w:val="22"/>
        </w:rPr>
        <w:t xml:space="preserve"> to paper Annual Benefits S</w:t>
      </w:r>
      <w:r w:rsidR="00573373">
        <w:rPr>
          <w:rFonts w:asciiTheme="minorHAnsi" w:hAnsiTheme="minorHAnsi"/>
          <w:sz w:val="22"/>
          <w:szCs w:val="22"/>
        </w:rPr>
        <w:t>ta</w:t>
      </w:r>
      <w:r w:rsidR="00F30533">
        <w:rPr>
          <w:rFonts w:asciiTheme="minorHAnsi" w:hAnsiTheme="minorHAnsi"/>
          <w:sz w:val="22"/>
          <w:szCs w:val="22"/>
        </w:rPr>
        <w:t>te</w:t>
      </w:r>
      <w:r w:rsidR="00573373">
        <w:rPr>
          <w:rFonts w:asciiTheme="minorHAnsi" w:hAnsiTheme="minorHAnsi"/>
          <w:sz w:val="22"/>
          <w:szCs w:val="22"/>
        </w:rPr>
        <w:t>ments only being provided to those me</w:t>
      </w:r>
      <w:r w:rsidR="00F30533">
        <w:rPr>
          <w:rFonts w:asciiTheme="minorHAnsi" w:hAnsiTheme="minorHAnsi"/>
          <w:sz w:val="22"/>
          <w:szCs w:val="22"/>
        </w:rPr>
        <w:t>mber</w:t>
      </w:r>
      <w:r w:rsidR="0074164B">
        <w:rPr>
          <w:rFonts w:asciiTheme="minorHAnsi" w:hAnsiTheme="minorHAnsi"/>
          <w:sz w:val="22"/>
          <w:szCs w:val="22"/>
        </w:rPr>
        <w:t>s</w:t>
      </w:r>
      <w:r w:rsidR="00F30533">
        <w:rPr>
          <w:rFonts w:asciiTheme="minorHAnsi" w:hAnsiTheme="minorHAnsi"/>
          <w:sz w:val="22"/>
          <w:szCs w:val="22"/>
        </w:rPr>
        <w:t xml:space="preserve"> who </w:t>
      </w:r>
      <w:r w:rsidR="002622AE">
        <w:rPr>
          <w:rFonts w:asciiTheme="minorHAnsi" w:hAnsiTheme="minorHAnsi"/>
          <w:sz w:val="22"/>
          <w:szCs w:val="22"/>
        </w:rPr>
        <w:t>specifically</w:t>
      </w:r>
      <w:r w:rsidR="00F30533">
        <w:rPr>
          <w:rFonts w:asciiTheme="minorHAnsi" w:hAnsiTheme="minorHAnsi"/>
          <w:sz w:val="22"/>
          <w:szCs w:val="22"/>
        </w:rPr>
        <w:t xml:space="preserve"> request it</w:t>
      </w:r>
      <w:r w:rsidR="00573373">
        <w:rPr>
          <w:rFonts w:asciiTheme="minorHAnsi" w:hAnsiTheme="minorHAnsi"/>
          <w:sz w:val="22"/>
          <w:szCs w:val="22"/>
        </w:rPr>
        <w:t xml:space="preserve"> </w:t>
      </w:r>
      <w:r w:rsidR="00F30533">
        <w:rPr>
          <w:rFonts w:asciiTheme="minorHAnsi" w:hAnsiTheme="minorHAnsi"/>
          <w:sz w:val="22"/>
          <w:szCs w:val="22"/>
        </w:rPr>
        <w:t>(</w:t>
      </w:r>
      <w:r w:rsidR="00573373">
        <w:rPr>
          <w:rFonts w:asciiTheme="minorHAnsi" w:hAnsiTheme="minorHAnsi"/>
          <w:sz w:val="22"/>
          <w:szCs w:val="22"/>
        </w:rPr>
        <w:t>the default is the statement is accessed online</w:t>
      </w:r>
      <w:r w:rsidR="00F30533">
        <w:rPr>
          <w:rFonts w:asciiTheme="minorHAnsi" w:hAnsiTheme="minorHAnsi"/>
          <w:sz w:val="22"/>
          <w:szCs w:val="22"/>
        </w:rPr>
        <w:t xml:space="preserve">) the concerns were raised about members who don’t have access to the internet and </w:t>
      </w:r>
      <w:r w:rsidR="0074164B">
        <w:rPr>
          <w:rFonts w:asciiTheme="minorHAnsi" w:hAnsiTheme="minorHAnsi"/>
          <w:sz w:val="22"/>
          <w:szCs w:val="22"/>
        </w:rPr>
        <w:t>the group asked for assurance</w:t>
      </w:r>
      <w:r w:rsidR="00F30533">
        <w:rPr>
          <w:rFonts w:asciiTheme="minorHAnsi" w:hAnsiTheme="minorHAnsi"/>
          <w:sz w:val="22"/>
          <w:szCs w:val="22"/>
        </w:rPr>
        <w:t xml:space="preserve"> that that website reliable.</w:t>
      </w:r>
    </w:p>
    <w:sectPr w:rsidR="00E20DE0" w:rsidRPr="00361FF0" w:rsidSect="00187065">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1F37" w14:textId="77777777" w:rsidR="00CD5608" w:rsidRDefault="00CD5608">
      <w:r>
        <w:separator/>
      </w:r>
    </w:p>
  </w:endnote>
  <w:endnote w:type="continuationSeparator" w:id="0">
    <w:p w14:paraId="442E2152" w14:textId="77777777" w:rsidR="00CD5608" w:rsidRDefault="00CD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284E" w14:textId="77777777" w:rsidR="00CD5608" w:rsidRDefault="00CD5608">
      <w:r>
        <w:separator/>
      </w:r>
    </w:p>
  </w:footnote>
  <w:footnote w:type="continuationSeparator" w:id="0">
    <w:p w14:paraId="43EBDADA" w14:textId="77777777" w:rsidR="00CD5608" w:rsidRDefault="00CD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79F2" w14:textId="0C903A85" w:rsidR="00D967BE" w:rsidRDefault="00D967BE">
    <w:pPr>
      <w:pStyle w:val="Header"/>
    </w:pPr>
    <w:r>
      <w:t xml:space="preserve">TPSPB Meeting 3 </w:t>
    </w:r>
    <w:proofErr w:type="gramStart"/>
    <w:r>
      <w:t>June :</w:t>
    </w:r>
    <w:proofErr w:type="gramEnd"/>
    <w:r>
      <w:t xml:space="preserve"> Agenda item 4</w:t>
    </w:r>
  </w:p>
  <w:p w14:paraId="5F8BE92F" w14:textId="77777777" w:rsidR="00D967BE" w:rsidRDefault="00D96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17F0"/>
    <w:rsid w:val="00004A51"/>
    <w:rsid w:val="00011F78"/>
    <w:rsid w:val="00022DB6"/>
    <w:rsid w:val="00033533"/>
    <w:rsid w:val="00033807"/>
    <w:rsid w:val="00041864"/>
    <w:rsid w:val="0004776A"/>
    <w:rsid w:val="000516ED"/>
    <w:rsid w:val="00077621"/>
    <w:rsid w:val="000833EF"/>
    <w:rsid w:val="000A0C1B"/>
    <w:rsid w:val="000A5635"/>
    <w:rsid w:val="000B1468"/>
    <w:rsid w:val="000E0AF6"/>
    <w:rsid w:val="000E7C07"/>
    <w:rsid w:val="000F41B2"/>
    <w:rsid w:val="000F4E59"/>
    <w:rsid w:val="00116F59"/>
    <w:rsid w:val="001227A4"/>
    <w:rsid w:val="00134F0D"/>
    <w:rsid w:val="001362FD"/>
    <w:rsid w:val="001366BB"/>
    <w:rsid w:val="001372F2"/>
    <w:rsid w:val="00153F85"/>
    <w:rsid w:val="00156E98"/>
    <w:rsid w:val="00180A06"/>
    <w:rsid w:val="00182783"/>
    <w:rsid w:val="00187065"/>
    <w:rsid w:val="00195F8E"/>
    <w:rsid w:val="001A54FA"/>
    <w:rsid w:val="001B05C8"/>
    <w:rsid w:val="001B0DDF"/>
    <w:rsid w:val="001B6DF9"/>
    <w:rsid w:val="001D55BC"/>
    <w:rsid w:val="001D7FB3"/>
    <w:rsid w:val="001E1691"/>
    <w:rsid w:val="001F5B4F"/>
    <w:rsid w:val="002009C2"/>
    <w:rsid w:val="002027CA"/>
    <w:rsid w:val="00211C37"/>
    <w:rsid w:val="00212D24"/>
    <w:rsid w:val="00217581"/>
    <w:rsid w:val="002266AC"/>
    <w:rsid w:val="002335B0"/>
    <w:rsid w:val="002338A1"/>
    <w:rsid w:val="0024599B"/>
    <w:rsid w:val="002622AE"/>
    <w:rsid w:val="00266064"/>
    <w:rsid w:val="0027611C"/>
    <w:rsid w:val="00283203"/>
    <w:rsid w:val="002840D0"/>
    <w:rsid w:val="00295EFC"/>
    <w:rsid w:val="002B651E"/>
    <w:rsid w:val="002D2A7A"/>
    <w:rsid w:val="002E28FA"/>
    <w:rsid w:val="002E7B44"/>
    <w:rsid w:val="00310708"/>
    <w:rsid w:val="00312BD3"/>
    <w:rsid w:val="00326BD9"/>
    <w:rsid w:val="00340589"/>
    <w:rsid w:val="00342B5C"/>
    <w:rsid w:val="00347A3B"/>
    <w:rsid w:val="00361FF0"/>
    <w:rsid w:val="00367EEB"/>
    <w:rsid w:val="00370895"/>
    <w:rsid w:val="003900E4"/>
    <w:rsid w:val="00392AE9"/>
    <w:rsid w:val="003B78F9"/>
    <w:rsid w:val="003D2B34"/>
    <w:rsid w:val="003D74A2"/>
    <w:rsid w:val="003D7A13"/>
    <w:rsid w:val="003E1B86"/>
    <w:rsid w:val="003F22CD"/>
    <w:rsid w:val="003F3C61"/>
    <w:rsid w:val="003F771B"/>
    <w:rsid w:val="00402829"/>
    <w:rsid w:val="00430DC5"/>
    <w:rsid w:val="0043108A"/>
    <w:rsid w:val="00450D89"/>
    <w:rsid w:val="004533A7"/>
    <w:rsid w:val="00460505"/>
    <w:rsid w:val="0046088F"/>
    <w:rsid w:val="00463122"/>
    <w:rsid w:val="0047156D"/>
    <w:rsid w:val="00474D55"/>
    <w:rsid w:val="00480E77"/>
    <w:rsid w:val="00482C3C"/>
    <w:rsid w:val="00484588"/>
    <w:rsid w:val="00484C39"/>
    <w:rsid w:val="004955D9"/>
    <w:rsid w:val="004C4A2E"/>
    <w:rsid w:val="004D2A86"/>
    <w:rsid w:val="004D4BE4"/>
    <w:rsid w:val="004E633C"/>
    <w:rsid w:val="004F594C"/>
    <w:rsid w:val="00502204"/>
    <w:rsid w:val="00511CA5"/>
    <w:rsid w:val="005150CE"/>
    <w:rsid w:val="00530814"/>
    <w:rsid w:val="00533406"/>
    <w:rsid w:val="00545301"/>
    <w:rsid w:val="00551187"/>
    <w:rsid w:val="00555523"/>
    <w:rsid w:val="00565333"/>
    <w:rsid w:val="00573373"/>
    <w:rsid w:val="00591B39"/>
    <w:rsid w:val="005B1CC3"/>
    <w:rsid w:val="005B5A07"/>
    <w:rsid w:val="005C1372"/>
    <w:rsid w:val="005D353E"/>
    <w:rsid w:val="005D71E4"/>
    <w:rsid w:val="00607A4B"/>
    <w:rsid w:val="00620172"/>
    <w:rsid w:val="0062704E"/>
    <w:rsid w:val="00634682"/>
    <w:rsid w:val="0063507E"/>
    <w:rsid w:val="006363E9"/>
    <w:rsid w:val="006858D6"/>
    <w:rsid w:val="00687908"/>
    <w:rsid w:val="006A0189"/>
    <w:rsid w:val="006A1127"/>
    <w:rsid w:val="006A2F72"/>
    <w:rsid w:val="006A3278"/>
    <w:rsid w:val="006D3EBD"/>
    <w:rsid w:val="006E6F0B"/>
    <w:rsid w:val="007104E4"/>
    <w:rsid w:val="0073435A"/>
    <w:rsid w:val="0074164B"/>
    <w:rsid w:val="007442BB"/>
    <w:rsid w:val="007463C5"/>
    <w:rsid w:val="00746846"/>
    <w:rsid w:val="007510C3"/>
    <w:rsid w:val="0075494E"/>
    <w:rsid w:val="0076458E"/>
    <w:rsid w:val="00767063"/>
    <w:rsid w:val="007940AE"/>
    <w:rsid w:val="007A10F9"/>
    <w:rsid w:val="007A4C02"/>
    <w:rsid w:val="007B49CD"/>
    <w:rsid w:val="007B593B"/>
    <w:rsid w:val="007B5A46"/>
    <w:rsid w:val="007C1BC2"/>
    <w:rsid w:val="007C6110"/>
    <w:rsid w:val="007D0DBA"/>
    <w:rsid w:val="007D4DB0"/>
    <w:rsid w:val="007E3A80"/>
    <w:rsid w:val="007F073B"/>
    <w:rsid w:val="00805C72"/>
    <w:rsid w:val="00831225"/>
    <w:rsid w:val="008428AB"/>
    <w:rsid w:val="008534DF"/>
    <w:rsid w:val="00856E25"/>
    <w:rsid w:val="00863664"/>
    <w:rsid w:val="0088151C"/>
    <w:rsid w:val="008817AB"/>
    <w:rsid w:val="008843A4"/>
    <w:rsid w:val="00895FDF"/>
    <w:rsid w:val="008B1C49"/>
    <w:rsid w:val="008B2749"/>
    <w:rsid w:val="008B28E9"/>
    <w:rsid w:val="008B67CC"/>
    <w:rsid w:val="008D1228"/>
    <w:rsid w:val="008E3BDA"/>
    <w:rsid w:val="008F452F"/>
    <w:rsid w:val="00905ADC"/>
    <w:rsid w:val="00906C33"/>
    <w:rsid w:val="009173AF"/>
    <w:rsid w:val="00932946"/>
    <w:rsid w:val="009424FA"/>
    <w:rsid w:val="009426CB"/>
    <w:rsid w:val="0095214C"/>
    <w:rsid w:val="00963073"/>
    <w:rsid w:val="0097315A"/>
    <w:rsid w:val="00991194"/>
    <w:rsid w:val="0099290B"/>
    <w:rsid w:val="009A3F0A"/>
    <w:rsid w:val="009A64D1"/>
    <w:rsid w:val="009B38C0"/>
    <w:rsid w:val="009B3EFE"/>
    <w:rsid w:val="009B493A"/>
    <w:rsid w:val="009D31F7"/>
    <w:rsid w:val="009D3D73"/>
    <w:rsid w:val="009E73AD"/>
    <w:rsid w:val="009F2037"/>
    <w:rsid w:val="009F5357"/>
    <w:rsid w:val="009F7653"/>
    <w:rsid w:val="00A00569"/>
    <w:rsid w:val="00A11016"/>
    <w:rsid w:val="00A21E85"/>
    <w:rsid w:val="00A247C8"/>
    <w:rsid w:val="00A2712A"/>
    <w:rsid w:val="00A3306B"/>
    <w:rsid w:val="00A3526C"/>
    <w:rsid w:val="00A36044"/>
    <w:rsid w:val="00A366A9"/>
    <w:rsid w:val="00A46912"/>
    <w:rsid w:val="00A64099"/>
    <w:rsid w:val="00A96425"/>
    <w:rsid w:val="00AA4D17"/>
    <w:rsid w:val="00AB6016"/>
    <w:rsid w:val="00AB6353"/>
    <w:rsid w:val="00AC2A37"/>
    <w:rsid w:val="00AC46A4"/>
    <w:rsid w:val="00AD0E50"/>
    <w:rsid w:val="00AD632D"/>
    <w:rsid w:val="00AF0554"/>
    <w:rsid w:val="00AF1C07"/>
    <w:rsid w:val="00AF737F"/>
    <w:rsid w:val="00B006DF"/>
    <w:rsid w:val="00B05ECD"/>
    <w:rsid w:val="00B06172"/>
    <w:rsid w:val="00B16A24"/>
    <w:rsid w:val="00B16A8C"/>
    <w:rsid w:val="00B275C1"/>
    <w:rsid w:val="00B631F5"/>
    <w:rsid w:val="00B6522B"/>
    <w:rsid w:val="00B65709"/>
    <w:rsid w:val="00B67DF2"/>
    <w:rsid w:val="00B8232C"/>
    <w:rsid w:val="00B85BF7"/>
    <w:rsid w:val="00B939CC"/>
    <w:rsid w:val="00BC547B"/>
    <w:rsid w:val="00BC7D86"/>
    <w:rsid w:val="00BD4B6C"/>
    <w:rsid w:val="00BE5EA8"/>
    <w:rsid w:val="00C167F7"/>
    <w:rsid w:val="00C37933"/>
    <w:rsid w:val="00C408C7"/>
    <w:rsid w:val="00C47EEA"/>
    <w:rsid w:val="00C519D0"/>
    <w:rsid w:val="00C70ACB"/>
    <w:rsid w:val="00C73DCA"/>
    <w:rsid w:val="00C74109"/>
    <w:rsid w:val="00C93E71"/>
    <w:rsid w:val="00CA4FEC"/>
    <w:rsid w:val="00CD5608"/>
    <w:rsid w:val="00CD7921"/>
    <w:rsid w:val="00CE084B"/>
    <w:rsid w:val="00CE4249"/>
    <w:rsid w:val="00D02D57"/>
    <w:rsid w:val="00D118D6"/>
    <w:rsid w:val="00D20266"/>
    <w:rsid w:val="00D20C29"/>
    <w:rsid w:val="00D2509D"/>
    <w:rsid w:val="00D33842"/>
    <w:rsid w:val="00D47915"/>
    <w:rsid w:val="00D57D6E"/>
    <w:rsid w:val="00D61F5A"/>
    <w:rsid w:val="00D656C2"/>
    <w:rsid w:val="00D967BE"/>
    <w:rsid w:val="00DA58BD"/>
    <w:rsid w:val="00DB1DC4"/>
    <w:rsid w:val="00DB4029"/>
    <w:rsid w:val="00DB4C12"/>
    <w:rsid w:val="00E0081E"/>
    <w:rsid w:val="00E02094"/>
    <w:rsid w:val="00E07702"/>
    <w:rsid w:val="00E10F4C"/>
    <w:rsid w:val="00E15342"/>
    <w:rsid w:val="00E20DE0"/>
    <w:rsid w:val="00E2419F"/>
    <w:rsid w:val="00E320EA"/>
    <w:rsid w:val="00E366D6"/>
    <w:rsid w:val="00E63D8B"/>
    <w:rsid w:val="00E67654"/>
    <w:rsid w:val="00E81F4B"/>
    <w:rsid w:val="00E943B9"/>
    <w:rsid w:val="00E97659"/>
    <w:rsid w:val="00EA11BE"/>
    <w:rsid w:val="00EC644A"/>
    <w:rsid w:val="00EC6A3F"/>
    <w:rsid w:val="00EE4F35"/>
    <w:rsid w:val="00F11DAF"/>
    <w:rsid w:val="00F30533"/>
    <w:rsid w:val="00F30554"/>
    <w:rsid w:val="00F348D2"/>
    <w:rsid w:val="00F4485F"/>
    <w:rsid w:val="00F44B6A"/>
    <w:rsid w:val="00F521C7"/>
    <w:rsid w:val="00F569A2"/>
    <w:rsid w:val="00F60108"/>
    <w:rsid w:val="00F60BF8"/>
    <w:rsid w:val="00F62917"/>
    <w:rsid w:val="00F64863"/>
    <w:rsid w:val="00F701EB"/>
    <w:rsid w:val="00F7540E"/>
    <w:rsid w:val="00F960C1"/>
    <w:rsid w:val="00FA0331"/>
    <w:rsid w:val="00FC049C"/>
    <w:rsid w:val="00FC1C0E"/>
    <w:rsid w:val="00FC5ED8"/>
    <w:rsid w:val="00FD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D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paragraph" w:styleId="CommentSubject">
    <w:name w:val="annotation subject"/>
    <w:basedOn w:val="CommentText"/>
    <w:next w:val="CommentText"/>
    <w:link w:val="CommentSubjectChar"/>
    <w:rsid w:val="00474D55"/>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474D55"/>
    <w:rPr>
      <w:rFonts w:ascii="Arial" w:hAnsi="Arial"/>
      <w:b/>
      <w:bCs/>
      <w:lang w:eastAsia="en-US"/>
    </w:rPr>
  </w:style>
  <w:style w:type="paragraph" w:styleId="Revision">
    <w:name w:val="Revision"/>
    <w:hidden/>
    <w:uiPriority w:val="99"/>
    <w:semiHidden/>
    <w:rsid w:val="008B28E9"/>
    <w:rPr>
      <w:rFonts w:ascii="Arial" w:hAnsi="Arial"/>
      <w:sz w:val="24"/>
      <w:lang w:eastAsia="en-US"/>
    </w:rPr>
  </w:style>
  <w:style w:type="table" w:styleId="TableGrid">
    <w:name w:val="Table Grid"/>
    <w:basedOn w:val="TableNormal"/>
    <w:rsid w:val="0007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CA"/>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D967B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paragraph" w:styleId="CommentSubject">
    <w:name w:val="annotation subject"/>
    <w:basedOn w:val="CommentText"/>
    <w:next w:val="CommentText"/>
    <w:link w:val="CommentSubjectChar"/>
    <w:rsid w:val="00474D55"/>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474D55"/>
    <w:rPr>
      <w:rFonts w:ascii="Arial" w:hAnsi="Arial"/>
      <w:b/>
      <w:bCs/>
      <w:lang w:eastAsia="en-US"/>
    </w:rPr>
  </w:style>
  <w:style w:type="paragraph" w:styleId="Revision">
    <w:name w:val="Revision"/>
    <w:hidden/>
    <w:uiPriority w:val="99"/>
    <w:semiHidden/>
    <w:rsid w:val="008B28E9"/>
    <w:rPr>
      <w:rFonts w:ascii="Arial" w:hAnsi="Arial"/>
      <w:sz w:val="24"/>
      <w:lang w:eastAsia="en-US"/>
    </w:rPr>
  </w:style>
  <w:style w:type="table" w:styleId="TableGrid">
    <w:name w:val="Table Grid"/>
    <w:basedOn w:val="TableNormal"/>
    <w:rsid w:val="0007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CA"/>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D967B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3012">
      <w:bodyDiv w:val="1"/>
      <w:marLeft w:val="0"/>
      <w:marRight w:val="0"/>
      <w:marTop w:val="0"/>
      <w:marBottom w:val="0"/>
      <w:divBdr>
        <w:top w:val="none" w:sz="0" w:space="0" w:color="auto"/>
        <w:left w:val="none" w:sz="0" w:space="0" w:color="auto"/>
        <w:bottom w:val="none" w:sz="0" w:space="0" w:color="auto"/>
        <w:right w:val="none" w:sz="0" w:space="0" w:color="auto"/>
      </w:divBdr>
    </w:div>
    <w:div w:id="563565105">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1165439281">
      <w:bodyDiv w:val="1"/>
      <w:marLeft w:val="0"/>
      <w:marRight w:val="0"/>
      <w:marTop w:val="0"/>
      <w:marBottom w:val="0"/>
      <w:divBdr>
        <w:top w:val="none" w:sz="0" w:space="0" w:color="auto"/>
        <w:left w:val="none" w:sz="0" w:space="0" w:color="auto"/>
        <w:bottom w:val="none" w:sz="0" w:space="0" w:color="auto"/>
        <w:right w:val="none" w:sz="0" w:space="0" w:color="auto"/>
      </w:divBdr>
    </w:div>
    <w:div w:id="1211261971">
      <w:bodyDiv w:val="1"/>
      <w:marLeft w:val="0"/>
      <w:marRight w:val="0"/>
      <w:marTop w:val="0"/>
      <w:marBottom w:val="0"/>
      <w:divBdr>
        <w:top w:val="none" w:sz="0" w:space="0" w:color="auto"/>
        <w:left w:val="none" w:sz="0" w:space="0" w:color="auto"/>
        <w:bottom w:val="none" w:sz="0" w:space="0" w:color="auto"/>
        <w:right w:val="none" w:sz="0" w:space="0" w:color="auto"/>
      </w:divBdr>
    </w:div>
    <w:div w:id="1284650000">
      <w:bodyDiv w:val="1"/>
      <w:marLeft w:val="0"/>
      <w:marRight w:val="0"/>
      <w:marTop w:val="0"/>
      <w:marBottom w:val="0"/>
      <w:divBdr>
        <w:top w:val="none" w:sz="0" w:space="0" w:color="auto"/>
        <w:left w:val="none" w:sz="0" w:space="0" w:color="auto"/>
        <w:bottom w:val="none" w:sz="0" w:space="0" w:color="auto"/>
        <w:right w:val="none" w:sz="0" w:space="0" w:color="auto"/>
      </w:divBdr>
    </w:div>
    <w:div w:id="1914928497">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HKPH4XM4QHZ4-9-7782</_dlc_DocId>
    <_dlc_DocIdUrl xmlns="b8cb3cbd-ce5c-4a72-9da4-9013f91c5903">
      <Url>http://workplaces/sites/ttg/d/_layouts/DocIdRedir.aspx?ID=HKPH4XM4QHZ4-9-7782</Url>
      <Description>HKPH4XM4QHZ4-9-7782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46cf5e9a6bdda7885d3ea30a06f096c1">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84a9e59cad19928108f7ee55d43d7b21"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D045-B0F2-4F2E-B883-F8A801916E75}"/>
</file>

<file path=customXml/itemProps2.xml><?xml version="1.0" encoding="utf-8"?>
<ds:datastoreItem xmlns:ds="http://schemas.openxmlformats.org/officeDocument/2006/customXml" ds:itemID="{323EFAE5-661B-4E04-A512-C73AC9E9CE24}"/>
</file>

<file path=customXml/itemProps3.xml><?xml version="1.0" encoding="utf-8"?>
<ds:datastoreItem xmlns:ds="http://schemas.openxmlformats.org/officeDocument/2006/customXml" ds:itemID="{E7B320AD-6A30-474B-A38D-9DD98722032F}"/>
</file>

<file path=customXml/itemProps4.xml><?xml version="1.0" encoding="utf-8"?>
<ds:datastoreItem xmlns:ds="http://schemas.openxmlformats.org/officeDocument/2006/customXml" ds:itemID="{A801F80F-62F8-42B0-9D13-66A0299A8398}"/>
</file>

<file path=customXml/itemProps5.xml><?xml version="1.0" encoding="utf-8"?>
<ds:datastoreItem xmlns:ds="http://schemas.openxmlformats.org/officeDocument/2006/customXml" ds:itemID="{9CCAE186-4679-4BBC-941E-C5AF4B9A2129}"/>
</file>

<file path=customXml/itemProps6.xml><?xml version="1.0" encoding="utf-8"?>
<ds:datastoreItem xmlns:ds="http://schemas.openxmlformats.org/officeDocument/2006/customXml" ds:itemID="{4FCB2C44-9AD5-4D0C-B783-A4F358BB8D9A}"/>
</file>

<file path=docProps/app.xml><?xml version="1.0" encoding="utf-8"?>
<Properties xmlns="http://schemas.openxmlformats.org/officeDocument/2006/extended-properties" xmlns:vt="http://schemas.openxmlformats.org/officeDocument/2006/docPropsVTypes">
  <Template>CE16F477</Template>
  <TotalTime>2</TotalTime>
  <Pages>3</Pages>
  <Words>1496</Words>
  <Characters>8002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Company>DfE</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WILLIAMS, Sue (CIOG)</dc:creator>
  <cp:lastModifiedBy>CAMMACK, Karen</cp:lastModifiedBy>
  <cp:revision>3</cp:revision>
  <cp:lastPrinted>2015-05-22T14:23:00Z</cp:lastPrinted>
  <dcterms:created xsi:type="dcterms:W3CDTF">2015-06-11T09:17:00Z</dcterms:created>
  <dcterms:modified xsi:type="dcterms:W3CDTF">2015-06-22T13:23:00Z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3;#Unclassified|0884c477-2e62-47ea-b19c-5af6e91124c5</vt:lpwstr>
  </property>
  <property fmtid="{D5CDD505-2E9C-101B-9397-08002B2CF9AE}" pid="9" name="_dlc_DocIdItemGuid">
    <vt:lpwstr>875b5c94-462d-4401-84de-228f0481e10c</vt:lpwstr>
  </property>
</Properties>
</file>