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496D" w14:textId="384FEF96" w:rsidR="00491648" w:rsidRDefault="00491648" w:rsidP="00C7117E">
      <w:pPr>
        <w:pStyle w:val="DeptBullets"/>
        <w:numPr>
          <w:ilvl w:val="0"/>
          <w:numId w:val="0"/>
        </w:numPr>
        <w:spacing w:after="0"/>
        <w:rPr>
          <w:rFonts w:cs="Arial"/>
          <w:b/>
          <w:szCs w:val="24"/>
        </w:rPr>
      </w:pPr>
      <w:bookmarkStart w:id="0" w:name="_GoBack"/>
      <w:bookmarkEnd w:id="0"/>
      <w:r w:rsidRPr="004F05CF">
        <w:rPr>
          <w:rFonts w:cs="Arial"/>
          <w:b/>
          <w:szCs w:val="24"/>
        </w:rPr>
        <w:t xml:space="preserve">Engagement </w:t>
      </w:r>
      <w:r w:rsidR="00DB7DEF">
        <w:rPr>
          <w:rFonts w:cs="Arial"/>
          <w:b/>
          <w:szCs w:val="24"/>
        </w:rPr>
        <w:t xml:space="preserve">- </w:t>
      </w:r>
      <w:r w:rsidR="00523049">
        <w:rPr>
          <w:rFonts w:cs="Arial"/>
          <w:b/>
          <w:szCs w:val="24"/>
        </w:rPr>
        <w:t>November 2017 to January 2018</w:t>
      </w:r>
    </w:p>
    <w:p w14:paraId="20C50F6B" w14:textId="62705D81" w:rsidR="002A7069" w:rsidRDefault="002A7069" w:rsidP="00C7117E">
      <w:pPr>
        <w:pStyle w:val="DeptBullets"/>
        <w:numPr>
          <w:ilvl w:val="0"/>
          <w:numId w:val="0"/>
        </w:numPr>
        <w:spacing w:after="0"/>
        <w:rPr>
          <w:rFonts w:cs="Arial"/>
          <w:b/>
          <w:szCs w:val="24"/>
        </w:rPr>
      </w:pPr>
    </w:p>
    <w:p w14:paraId="0BC0062B" w14:textId="1583B5A4" w:rsidR="002A7069" w:rsidRPr="004F05CF" w:rsidRDefault="002A7069" w:rsidP="00C7117E">
      <w:pPr>
        <w:pStyle w:val="DeptBullets"/>
        <w:numPr>
          <w:ilvl w:val="0"/>
          <w:numId w:val="0"/>
        </w:numPr>
        <w:spacing w:after="0"/>
        <w:rPr>
          <w:rFonts w:cs="Arial"/>
          <w:b/>
          <w:szCs w:val="24"/>
        </w:rPr>
      </w:pPr>
      <w:r w:rsidRPr="004F05CF">
        <w:rPr>
          <w:rFonts w:cs="Arial"/>
          <w:szCs w:val="24"/>
        </w:rPr>
        <w:t xml:space="preserve">The purpose of this document is to advise the Information to Members &amp; Communications sub-committee, and the TPS Pension Board (TPSPB) of recent key activity on engagement with scheme members and employers, so as to assist the Board in its assurance role - in particular in the area of communicating information to members.  </w:t>
      </w:r>
      <w:r>
        <w:rPr>
          <w:rFonts w:cs="Arial"/>
          <w:szCs w:val="24"/>
        </w:rPr>
        <w:t>Annex 1 gives a full briefing on the purpose of this report.</w:t>
      </w:r>
    </w:p>
    <w:p w14:paraId="76A07AE4" w14:textId="77777777" w:rsidR="00491648" w:rsidRPr="004F05CF" w:rsidRDefault="00491648" w:rsidP="00C7117E">
      <w:pPr>
        <w:pStyle w:val="DeptBullets"/>
        <w:numPr>
          <w:ilvl w:val="0"/>
          <w:numId w:val="0"/>
        </w:numPr>
        <w:tabs>
          <w:tab w:val="left" w:pos="6105"/>
        </w:tabs>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B6364C" w:rsidRPr="004F05CF" w14:paraId="47AD65CE" w14:textId="77777777" w:rsidTr="00630E86">
        <w:trPr>
          <w:trHeight w:val="360"/>
        </w:trPr>
        <w:tc>
          <w:tcPr>
            <w:tcW w:w="7230" w:type="dxa"/>
          </w:tcPr>
          <w:p w14:paraId="059761AF" w14:textId="0CA229D5" w:rsidR="00B6364C" w:rsidRPr="004F05CF" w:rsidRDefault="00B6364C" w:rsidP="009024CC">
            <w:pPr>
              <w:rPr>
                <w:rFonts w:cs="Arial"/>
                <w:b/>
                <w:szCs w:val="24"/>
              </w:rPr>
            </w:pPr>
            <w:r w:rsidRPr="004F05CF">
              <w:rPr>
                <w:rFonts w:cs="Arial"/>
                <w:b/>
                <w:color w:val="000000"/>
                <w:szCs w:val="24"/>
                <w:lang w:eastAsia="en-GB"/>
              </w:rPr>
              <w:t>General communications</w:t>
            </w:r>
          </w:p>
        </w:tc>
        <w:tc>
          <w:tcPr>
            <w:tcW w:w="1134" w:type="dxa"/>
            <w:shd w:val="clear" w:color="auto" w:fill="00B050"/>
          </w:tcPr>
          <w:p w14:paraId="1B8B3CEF" w14:textId="77777777" w:rsidR="00B6364C" w:rsidRPr="004F05CF" w:rsidRDefault="00B6364C" w:rsidP="00C7117E">
            <w:pPr>
              <w:rPr>
                <w:rFonts w:cs="Arial"/>
                <w:color w:val="FFC000"/>
                <w:szCs w:val="24"/>
              </w:rPr>
            </w:pPr>
            <w:r w:rsidRPr="004F05CF">
              <w:rPr>
                <w:rFonts w:cs="Arial"/>
                <w:b/>
                <w:noProof/>
                <w:szCs w:val="24"/>
                <w:lang w:eastAsia="en-GB"/>
              </w:rPr>
              <mc:AlternateContent>
                <mc:Choice Requires="wps">
                  <w:drawing>
                    <wp:anchor distT="4294967295" distB="4294967295" distL="114300" distR="114300" simplePos="0" relativeHeight="251657728" behindDoc="0" locked="0" layoutInCell="1" allowOverlap="1" wp14:anchorId="544049E5" wp14:editId="415FC443">
                      <wp:simplePos x="0" y="0"/>
                      <wp:positionH relativeFrom="column">
                        <wp:posOffset>-3175</wp:posOffset>
                      </wp:positionH>
                      <wp:positionV relativeFrom="paragraph">
                        <wp:posOffset>76835</wp:posOffset>
                      </wp:positionV>
                      <wp:extent cx="495300" cy="0"/>
                      <wp:effectExtent l="0" t="76200" r="19050" b="952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27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3C250C" id="_x0000_t32" coordsize="21600,21600" o:spt="32" o:oned="t" path="m,l21600,21600e" filled="f">
                      <v:path arrowok="t" fillok="f" o:connecttype="none"/>
                      <o:lock v:ext="edit" shapetype="t"/>
                    </v:shapetype>
                    <v:shape id="AutoShape 2" o:spid="_x0000_s1026" type="#_x0000_t32" style="position:absolute;margin-left:-.25pt;margin-top:6.05pt;width:3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" strokeweight="1pt">
                      <v:stroke endarrow="block"/>
                      <v:shadow color="#7f7f7f [1601]" offset="1pt"/>
                    </v:shape>
                  </w:pict>
                </mc:Fallback>
              </mc:AlternateContent>
            </w:r>
          </w:p>
        </w:tc>
      </w:tr>
    </w:tbl>
    <w:p w14:paraId="62276687" w14:textId="77777777" w:rsidR="00376688" w:rsidRPr="004F05CF" w:rsidRDefault="00376688" w:rsidP="00C7117E">
      <w:pPr>
        <w:pStyle w:val="Heading3"/>
        <w:rPr>
          <w:rFonts w:cs="Arial"/>
          <w:szCs w:val="24"/>
        </w:rPr>
      </w:pPr>
    </w:p>
    <w:p w14:paraId="50F330A2" w14:textId="580EE50B" w:rsidR="00523049" w:rsidRDefault="00523049" w:rsidP="00C7117E">
      <w:pPr>
        <w:pStyle w:val="Heading3"/>
        <w:numPr>
          <w:ilvl w:val="0"/>
          <w:numId w:val="8"/>
        </w:numPr>
        <w:rPr>
          <w:rFonts w:cs="Arial"/>
          <w:szCs w:val="24"/>
        </w:rPr>
      </w:pPr>
      <w:r w:rsidRPr="004F05CF">
        <w:rPr>
          <w:rFonts w:cs="Arial"/>
          <w:szCs w:val="24"/>
        </w:rPr>
        <w:t>The Teachers’ Pensions Scheme website refresh continues with updated content rolled out across</w:t>
      </w:r>
      <w:r>
        <w:rPr>
          <w:rFonts w:cs="Arial"/>
          <w:szCs w:val="24"/>
        </w:rPr>
        <w:t xml:space="preserve"> 2018</w:t>
      </w:r>
      <w:r w:rsidRPr="004F05CF">
        <w:rPr>
          <w:rFonts w:cs="Arial"/>
          <w:szCs w:val="24"/>
        </w:rPr>
        <w:t xml:space="preserve"> in line with the timetable set out below.  </w:t>
      </w:r>
      <w:r w:rsidR="00E44403">
        <w:rPr>
          <w:rFonts w:cs="Arial"/>
          <w:szCs w:val="24"/>
        </w:rPr>
        <w:t>M</w:t>
      </w:r>
      <w:r w:rsidRPr="004F05CF">
        <w:rPr>
          <w:rFonts w:cs="Arial"/>
          <w:szCs w:val="24"/>
        </w:rPr>
        <w:t xml:space="preserve">onthly updates </w:t>
      </w:r>
      <w:r w:rsidR="00860B31">
        <w:rPr>
          <w:rFonts w:cs="Arial"/>
          <w:szCs w:val="24"/>
        </w:rPr>
        <w:t>are</w:t>
      </w:r>
      <w:r w:rsidRPr="004F05CF">
        <w:rPr>
          <w:rFonts w:cs="Arial"/>
          <w:szCs w:val="24"/>
        </w:rPr>
        <w:t xml:space="preserve"> provided to the Department through the Service Delivery Board</w:t>
      </w:r>
      <w:r w:rsidR="00860B31">
        <w:rPr>
          <w:rFonts w:cs="Arial"/>
          <w:szCs w:val="24"/>
        </w:rPr>
        <w:t xml:space="preserve"> and contract management Service Delivery Group</w:t>
      </w:r>
      <w:r w:rsidRPr="004F05CF">
        <w:rPr>
          <w:rFonts w:cs="Arial"/>
          <w:szCs w:val="24"/>
        </w:rPr>
        <w:t>.</w:t>
      </w:r>
      <w:r w:rsidR="00860B31">
        <w:rPr>
          <w:rFonts w:cs="Arial"/>
          <w:szCs w:val="24"/>
        </w:rPr>
        <w:t xml:space="preserve">  </w:t>
      </w:r>
      <w:r w:rsidRPr="004F05CF">
        <w:rPr>
          <w:rFonts w:cs="Arial"/>
          <w:szCs w:val="24"/>
        </w:rPr>
        <w:t xml:space="preserve"> </w:t>
      </w:r>
    </w:p>
    <w:p w14:paraId="782A9EE1" w14:textId="77777777" w:rsidR="00523049" w:rsidRPr="00523049" w:rsidRDefault="00523049" w:rsidP="00C7117E"/>
    <w:p w14:paraId="32571CB5" w14:textId="0A63678C" w:rsidR="00523049" w:rsidRPr="00523049" w:rsidRDefault="00860B31" w:rsidP="00C7117E">
      <w:pPr>
        <w:pStyle w:val="Heading3"/>
        <w:numPr>
          <w:ilvl w:val="0"/>
          <w:numId w:val="8"/>
        </w:numPr>
        <w:rPr>
          <w:rFonts w:cs="Arial"/>
          <w:szCs w:val="24"/>
        </w:rPr>
      </w:pPr>
      <w:r>
        <w:t>The r</w:t>
      </w:r>
      <w:r w:rsidR="00523049">
        <w:t xml:space="preserve">emoval of the need for members to input their TP Ref/DfE number when registering for an MPO </w:t>
      </w:r>
      <w:r>
        <w:t>account was implemented, members were notified via an accompanying campaign.</w:t>
      </w:r>
    </w:p>
    <w:p w14:paraId="52F50EBD" w14:textId="77777777" w:rsidR="00523049" w:rsidRPr="002B69B5" w:rsidRDefault="00523049" w:rsidP="00C7117E">
      <w:pPr>
        <w:widowControl/>
        <w:overflowPunct/>
        <w:autoSpaceDE/>
        <w:autoSpaceDN/>
        <w:adjustRightInd/>
        <w:jc w:val="both"/>
        <w:textAlignment w:val="auto"/>
        <w:rPr>
          <w:rFonts w:cs="Arial"/>
          <w:color w:val="000000" w:themeColor="text1"/>
          <w:kern w:val="28"/>
          <w:szCs w:val="24"/>
        </w:rPr>
      </w:pPr>
    </w:p>
    <w:tbl>
      <w:tblPr>
        <w:tblpPr w:leftFromText="180" w:rightFromText="180" w:vertAnchor="text" w:horzAnchor="margin" w:tblpXSpec="center" w:tblpY="-34"/>
        <w:tblW w:w="9629" w:type="dxa"/>
        <w:tblCellMar>
          <w:left w:w="0" w:type="dxa"/>
          <w:right w:w="0" w:type="dxa"/>
        </w:tblCellMar>
        <w:tblLook w:val="04A0" w:firstRow="1" w:lastRow="0" w:firstColumn="1" w:lastColumn="0" w:noHBand="0" w:noVBand="1"/>
      </w:tblPr>
      <w:tblGrid>
        <w:gridCol w:w="1627"/>
        <w:gridCol w:w="629"/>
        <w:gridCol w:w="630"/>
        <w:gridCol w:w="651"/>
        <w:gridCol w:w="546"/>
        <w:gridCol w:w="622"/>
        <w:gridCol w:w="525"/>
        <w:gridCol w:w="499"/>
        <w:gridCol w:w="572"/>
        <w:gridCol w:w="549"/>
        <w:gridCol w:w="534"/>
        <w:gridCol w:w="584"/>
        <w:gridCol w:w="558"/>
        <w:gridCol w:w="516"/>
        <w:gridCol w:w="546"/>
        <w:gridCol w:w="596"/>
      </w:tblGrid>
      <w:tr w:rsidR="00523049" w:rsidRPr="00246E1E" w14:paraId="25D08C11"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725F151" w14:textId="77777777" w:rsidR="00523049" w:rsidRPr="00246E1E" w:rsidRDefault="00523049" w:rsidP="00C7117E">
            <w:pPr>
              <w:widowControl/>
              <w:overflowPunct/>
              <w:autoSpaceDE/>
              <w:autoSpaceDN/>
              <w:adjustRightInd/>
              <w:textAlignment w:val="auto"/>
              <w:rPr>
                <w:rFonts w:ascii="Calibri" w:eastAsia="Calibri" w:hAnsi="Calibri" w:cs="Calibri"/>
                <w:b/>
                <w:color w:val="000000"/>
                <w:sz w:val="22"/>
                <w:szCs w:val="22"/>
              </w:rPr>
            </w:pPr>
          </w:p>
        </w:tc>
        <w:tc>
          <w:tcPr>
            <w:tcW w:w="629"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25A75E35"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Jan</w:t>
            </w:r>
          </w:p>
        </w:tc>
        <w:tc>
          <w:tcPr>
            <w:tcW w:w="63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20D5F06C"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Feb</w:t>
            </w:r>
          </w:p>
        </w:tc>
        <w:tc>
          <w:tcPr>
            <w:tcW w:w="651"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4A75188E"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Mar</w:t>
            </w:r>
          </w:p>
        </w:tc>
        <w:tc>
          <w:tcPr>
            <w:tcW w:w="498"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093BD7B5"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Apr</w:t>
            </w:r>
          </w:p>
        </w:tc>
        <w:tc>
          <w:tcPr>
            <w:tcW w:w="551"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57CEDF3E"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May</w:t>
            </w:r>
          </w:p>
        </w:tc>
        <w:tc>
          <w:tcPr>
            <w:tcW w:w="499"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365738F9"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Jun</w:t>
            </w:r>
          </w:p>
        </w:tc>
        <w:tc>
          <w:tcPr>
            <w:tcW w:w="499"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4B316E11"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Jul</w:t>
            </w:r>
          </w:p>
        </w:tc>
        <w:tc>
          <w:tcPr>
            <w:tcW w:w="506"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42585233"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Aug</w:t>
            </w:r>
          </w:p>
        </w:tc>
        <w:tc>
          <w:tcPr>
            <w:tcW w:w="499"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51564811"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Sep</w:t>
            </w:r>
          </w:p>
        </w:tc>
        <w:tc>
          <w:tcPr>
            <w:tcW w:w="499"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76179056"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Oct</w:t>
            </w:r>
          </w:p>
        </w:tc>
        <w:tc>
          <w:tcPr>
            <w:tcW w:w="517"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01091D1F"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Nov</w:t>
            </w:r>
          </w:p>
        </w:tc>
        <w:tc>
          <w:tcPr>
            <w:tcW w:w="498"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55AED4B3"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Dec</w:t>
            </w:r>
          </w:p>
        </w:tc>
        <w:tc>
          <w:tcPr>
            <w:tcW w:w="499"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2F22B7D6"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Jan</w:t>
            </w:r>
          </w:p>
        </w:tc>
        <w:tc>
          <w:tcPr>
            <w:tcW w:w="499"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61F365C1"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Feb</w:t>
            </w:r>
          </w:p>
        </w:tc>
        <w:tc>
          <w:tcPr>
            <w:tcW w:w="528"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51939539" w14:textId="77777777" w:rsidR="00523049" w:rsidRPr="00246E1E" w:rsidRDefault="00523049" w:rsidP="00C7117E">
            <w:pPr>
              <w:widowControl/>
              <w:overflowPunct/>
              <w:autoSpaceDE/>
              <w:autoSpaceDN/>
              <w:adjustRightInd/>
              <w:textAlignment w:val="auto"/>
              <w:rPr>
                <w:rFonts w:ascii="Calibri" w:eastAsia="Calibri" w:hAnsi="Calibri" w:cs="Calibri"/>
                <w:b/>
                <w:color w:val="FFFFFF"/>
                <w:sz w:val="22"/>
                <w:szCs w:val="22"/>
              </w:rPr>
            </w:pPr>
            <w:r w:rsidRPr="00246E1E">
              <w:rPr>
                <w:rFonts w:ascii="Calibri" w:eastAsia="Calibri" w:hAnsi="Calibri"/>
                <w:b/>
                <w:color w:val="FFFFFF"/>
                <w:sz w:val="22"/>
                <w:szCs w:val="22"/>
              </w:rPr>
              <w:t>Mar</w:t>
            </w:r>
          </w:p>
        </w:tc>
      </w:tr>
      <w:tr w:rsidR="00523049" w:rsidRPr="00246E1E" w14:paraId="6736B613"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C9A3248"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Plan</w:t>
            </w:r>
          </w:p>
        </w:tc>
        <w:tc>
          <w:tcPr>
            <w:tcW w:w="62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5287C048"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3CE878F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3D75DB1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6D63247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0F7B205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51A3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1AF9E2"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12766"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814041"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8AF36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A87E9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CA42B"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02EC8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37AD1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F8F75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r w:rsidR="00523049" w:rsidRPr="00246E1E" w14:paraId="3CD7019F"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38F3EA71"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Agree Scope</w:t>
            </w:r>
          </w:p>
        </w:tc>
        <w:tc>
          <w:tcPr>
            <w:tcW w:w="6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75CE5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79988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E34D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9EC6D8"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463F2E06"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00D5890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F78EA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7F808"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310B3"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8497A8"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BAC41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02CD0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805CD6"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648A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CEBA8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r w:rsidR="00523049" w:rsidRPr="00246E1E" w14:paraId="025AFBE1"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F660129"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Research &amp; Focus Groups</w:t>
            </w:r>
          </w:p>
        </w:tc>
        <w:tc>
          <w:tcPr>
            <w:tcW w:w="6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4757E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4739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D2471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CEC15"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F9AF1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F7D1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782F524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4A7471B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3AEB0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56F67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3ABA9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591B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8314C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122A3"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A82D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r w:rsidR="00523049" w:rsidRPr="00246E1E" w14:paraId="0DAC2650"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777DA4ED"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Design of Secure Areas in Scope</w:t>
            </w:r>
          </w:p>
        </w:tc>
        <w:tc>
          <w:tcPr>
            <w:tcW w:w="6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2D0F2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AB7A6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847BF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4A0C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9ABC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7063F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B8A13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0CF58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2E33E0E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17480C36"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09249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EB9A8"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B55053"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76861"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C1E1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r w:rsidR="00523049" w:rsidRPr="00246E1E" w14:paraId="1E0418E9"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2046947F"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Testing</w:t>
            </w:r>
          </w:p>
        </w:tc>
        <w:tc>
          <w:tcPr>
            <w:tcW w:w="6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BB7FE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6FB31"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7F4FB6"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21A27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63065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7710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B8EF25"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B15B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593DCF72"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334C35C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0DB9278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2E646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CD73C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E00012"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F9DC3"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r w:rsidR="00523049" w:rsidRPr="00246E1E" w14:paraId="3EF37303"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E3C58AC"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Development</w:t>
            </w:r>
          </w:p>
        </w:tc>
        <w:tc>
          <w:tcPr>
            <w:tcW w:w="6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22708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441E8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52C91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9B18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1D569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90066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52303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10EB53"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20A93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08898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91FFF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5615E92B"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219EFE2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6B89B8D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1D862984"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r w:rsidR="00523049" w:rsidRPr="00246E1E" w14:paraId="5ED506C1"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C900D90"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Secure Content</w:t>
            </w:r>
          </w:p>
        </w:tc>
        <w:tc>
          <w:tcPr>
            <w:tcW w:w="6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50E2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DBC00A"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2EE03"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51D3A2"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0F972"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E4D2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438B1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3CDA96"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9A7A6B"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57311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0401F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59CD7305"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39C2696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72532F92"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7C54DDFC"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r w:rsidR="00523049" w:rsidRPr="00246E1E" w14:paraId="4E83F193" w14:textId="77777777" w:rsidTr="00523049">
        <w:trPr>
          <w:trHeight w:val="332"/>
        </w:trPr>
        <w:tc>
          <w:tcPr>
            <w:tcW w:w="162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2D70FDD8" w14:textId="77777777" w:rsidR="00523049" w:rsidRPr="00246E1E" w:rsidRDefault="00523049" w:rsidP="00C7117E">
            <w:pPr>
              <w:widowControl/>
              <w:overflowPunct/>
              <w:autoSpaceDE/>
              <w:autoSpaceDN/>
              <w:adjustRightInd/>
              <w:textAlignment w:val="auto"/>
              <w:rPr>
                <w:rFonts w:ascii="Calibri" w:eastAsia="Calibri" w:hAnsi="Calibri" w:cs="Calibri"/>
                <w:color w:val="404040"/>
                <w:sz w:val="22"/>
                <w:szCs w:val="22"/>
              </w:rPr>
            </w:pPr>
            <w:r w:rsidRPr="00246E1E">
              <w:rPr>
                <w:rFonts w:ascii="Calibri" w:eastAsia="Calibri" w:hAnsi="Calibri"/>
                <w:color w:val="404040"/>
                <w:sz w:val="22"/>
                <w:szCs w:val="22"/>
              </w:rPr>
              <w:t>Sweeps</w:t>
            </w:r>
          </w:p>
        </w:tc>
        <w:tc>
          <w:tcPr>
            <w:tcW w:w="6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C7183D"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F9D506"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6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6DFA22"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21B19B"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A77D8B"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882F9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976617"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3441D8"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CECBD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FD9AB"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4FE3CAE"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6AA499"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4E393CB3"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49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04DA84EF"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c>
          <w:tcPr>
            <w:tcW w:w="528"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4E2A7980" w14:textId="77777777" w:rsidR="00523049" w:rsidRPr="00246E1E" w:rsidRDefault="00523049" w:rsidP="00C7117E">
            <w:pPr>
              <w:widowControl/>
              <w:overflowPunct/>
              <w:autoSpaceDE/>
              <w:autoSpaceDN/>
              <w:adjustRightInd/>
              <w:textAlignment w:val="auto"/>
              <w:rPr>
                <w:rFonts w:ascii="Calibri" w:eastAsia="Calibri" w:hAnsi="Calibri" w:cs="Calibri"/>
                <w:color w:val="000000"/>
                <w:sz w:val="22"/>
                <w:szCs w:val="22"/>
              </w:rPr>
            </w:pPr>
            <w:r w:rsidRPr="00246E1E">
              <w:rPr>
                <w:rFonts w:ascii="Calibri" w:eastAsia="Calibri" w:hAnsi="Calibri"/>
                <w:color w:val="000000"/>
                <w:sz w:val="22"/>
                <w:szCs w:val="22"/>
              </w:rPr>
              <w:t> </w:t>
            </w:r>
          </w:p>
        </w:tc>
      </w:tr>
    </w:tbl>
    <w:p w14:paraId="0592DB9A" w14:textId="263A58D7" w:rsidR="00EA52F5" w:rsidRPr="00570E0A" w:rsidRDefault="00694DF4" w:rsidP="00C7117E">
      <w:pPr>
        <w:pStyle w:val="Heading3"/>
        <w:rPr>
          <w:rFonts w:cs="Arial"/>
          <w:b/>
          <w:color w:val="FF0000"/>
          <w:szCs w:val="24"/>
        </w:rPr>
      </w:pPr>
      <w:r w:rsidRPr="00570E0A">
        <w:rPr>
          <w:rFonts w:cs="Arial"/>
          <w:b/>
          <w:szCs w:val="24"/>
        </w:rPr>
        <w:t xml:space="preserve">Teachers’ Pensions </w:t>
      </w:r>
      <w:r w:rsidR="00E529EC">
        <w:rPr>
          <w:rFonts w:cs="Arial"/>
          <w:b/>
          <w:szCs w:val="24"/>
        </w:rPr>
        <w:t xml:space="preserve">Customer </w:t>
      </w:r>
      <w:r w:rsidRPr="00570E0A">
        <w:rPr>
          <w:rFonts w:cs="Arial"/>
          <w:b/>
          <w:szCs w:val="24"/>
        </w:rPr>
        <w:t xml:space="preserve">Contact </w:t>
      </w:r>
      <w:r w:rsidR="00E529EC">
        <w:rPr>
          <w:rFonts w:cs="Arial"/>
          <w:b/>
          <w:szCs w:val="24"/>
        </w:rPr>
        <w:t>Model</w:t>
      </w:r>
    </w:p>
    <w:p w14:paraId="6DFF4F27" w14:textId="77777777" w:rsidR="00376688" w:rsidRPr="004F05CF" w:rsidRDefault="00376688" w:rsidP="00C7117E">
      <w:pPr>
        <w:rPr>
          <w:rFonts w:cs="Arial"/>
          <w:szCs w:val="24"/>
        </w:rPr>
      </w:pPr>
    </w:p>
    <w:p w14:paraId="674D365D" w14:textId="3D189EFF" w:rsidR="006974DC" w:rsidRPr="00915975" w:rsidRDefault="00E529EC" w:rsidP="00432D39">
      <w:pPr>
        <w:pStyle w:val="ListParagraph"/>
        <w:numPr>
          <w:ilvl w:val="0"/>
          <w:numId w:val="8"/>
        </w:numPr>
        <w:rPr>
          <w:szCs w:val="24"/>
        </w:rPr>
      </w:pPr>
      <w:r w:rsidRPr="00915975">
        <w:rPr>
          <w:rFonts w:cs="Arial"/>
          <w:szCs w:val="24"/>
        </w:rPr>
        <w:t xml:space="preserve">This subcommittee </w:t>
      </w:r>
      <w:r w:rsidR="00BA708E">
        <w:rPr>
          <w:rFonts w:cs="Arial"/>
          <w:szCs w:val="24"/>
        </w:rPr>
        <w:t>is aware of</w:t>
      </w:r>
      <w:r w:rsidR="00941BB5">
        <w:rPr>
          <w:rFonts w:cs="Arial"/>
          <w:szCs w:val="24"/>
        </w:rPr>
        <w:t>,</w:t>
      </w:r>
      <w:r w:rsidR="00BA708E">
        <w:rPr>
          <w:rFonts w:cs="Arial"/>
          <w:szCs w:val="24"/>
        </w:rPr>
        <w:t xml:space="preserve"> and </w:t>
      </w:r>
      <w:r w:rsidR="0068479D" w:rsidRPr="00915975">
        <w:rPr>
          <w:rFonts w:cs="Arial"/>
          <w:szCs w:val="24"/>
        </w:rPr>
        <w:t>has been in</w:t>
      </w:r>
      <w:r w:rsidR="00BA708E">
        <w:rPr>
          <w:rFonts w:cs="Arial"/>
          <w:szCs w:val="24"/>
        </w:rPr>
        <w:t>volved in</w:t>
      </w:r>
      <w:r w:rsidR="00941BB5">
        <w:rPr>
          <w:rFonts w:cs="Arial"/>
          <w:szCs w:val="24"/>
        </w:rPr>
        <w:t>,</w:t>
      </w:r>
      <w:r w:rsidR="00BA708E">
        <w:rPr>
          <w:rFonts w:cs="Arial"/>
          <w:szCs w:val="24"/>
        </w:rPr>
        <w:t xml:space="preserve"> conside</w:t>
      </w:r>
      <w:r w:rsidRPr="00915975">
        <w:rPr>
          <w:rFonts w:cs="Arial"/>
          <w:szCs w:val="24"/>
        </w:rPr>
        <w:t xml:space="preserve">ring the challenges faced </w:t>
      </w:r>
      <w:r w:rsidR="00BA708E">
        <w:rPr>
          <w:rFonts w:cs="Arial"/>
          <w:szCs w:val="24"/>
        </w:rPr>
        <w:t xml:space="preserve">to </w:t>
      </w:r>
      <w:r w:rsidRPr="00915975">
        <w:rPr>
          <w:rFonts w:cs="Arial"/>
          <w:szCs w:val="24"/>
        </w:rPr>
        <w:t>meet the demand f</w:t>
      </w:r>
      <w:r w:rsidR="00BA708E">
        <w:rPr>
          <w:rFonts w:cs="Arial"/>
          <w:szCs w:val="24"/>
        </w:rPr>
        <w:t>r</w:t>
      </w:r>
      <w:r w:rsidR="00941BB5">
        <w:rPr>
          <w:rFonts w:cs="Arial"/>
          <w:szCs w:val="24"/>
        </w:rPr>
        <w:t>o</w:t>
      </w:r>
      <w:r w:rsidR="00BA708E">
        <w:rPr>
          <w:rFonts w:cs="Arial"/>
          <w:szCs w:val="24"/>
        </w:rPr>
        <w:t>m members f</w:t>
      </w:r>
      <w:r w:rsidRPr="00915975">
        <w:rPr>
          <w:rFonts w:cs="Arial"/>
          <w:szCs w:val="24"/>
        </w:rPr>
        <w:t>or</w:t>
      </w:r>
      <w:r w:rsidR="00915975">
        <w:rPr>
          <w:rFonts w:cs="Arial"/>
          <w:szCs w:val="24"/>
        </w:rPr>
        <w:t xml:space="preserve"> contact with the administrator</w:t>
      </w:r>
      <w:r w:rsidRPr="00915975">
        <w:rPr>
          <w:rFonts w:cs="Arial"/>
          <w:szCs w:val="24"/>
        </w:rPr>
        <w:t xml:space="preserve">.  </w:t>
      </w:r>
    </w:p>
    <w:p w14:paraId="14E2FE6D" w14:textId="77777777" w:rsidR="00915975" w:rsidRPr="00915975" w:rsidRDefault="00915975" w:rsidP="00915975">
      <w:pPr>
        <w:pStyle w:val="ListParagraph"/>
        <w:rPr>
          <w:szCs w:val="24"/>
        </w:rPr>
      </w:pPr>
    </w:p>
    <w:p w14:paraId="3B8C59B4" w14:textId="329BD4FA" w:rsidR="005E24AF" w:rsidRPr="00915975" w:rsidRDefault="00432D39" w:rsidP="00432D39">
      <w:pPr>
        <w:pStyle w:val="ListParagraph"/>
        <w:numPr>
          <w:ilvl w:val="0"/>
          <w:numId w:val="8"/>
        </w:numPr>
        <w:rPr>
          <w:rFonts w:cs="Arial"/>
          <w:szCs w:val="24"/>
        </w:rPr>
      </w:pPr>
      <w:r>
        <w:rPr>
          <w:rFonts w:cs="Arial"/>
          <w:szCs w:val="24"/>
        </w:rPr>
        <w:t>Since the discussions at QSB</w:t>
      </w:r>
      <w:r w:rsidR="00941BB5">
        <w:rPr>
          <w:rFonts w:cs="Arial"/>
          <w:szCs w:val="24"/>
        </w:rPr>
        <w:t>,</w:t>
      </w:r>
      <w:r w:rsidR="0068479D" w:rsidRPr="00915975">
        <w:rPr>
          <w:rFonts w:cs="Arial"/>
          <w:szCs w:val="24"/>
        </w:rPr>
        <w:t xml:space="preserve"> </w:t>
      </w:r>
      <w:r>
        <w:rPr>
          <w:rFonts w:cs="Arial"/>
          <w:szCs w:val="24"/>
        </w:rPr>
        <w:t>TP</w:t>
      </w:r>
      <w:r w:rsidR="00915975" w:rsidRPr="00915975">
        <w:rPr>
          <w:rFonts w:cs="Arial"/>
          <w:szCs w:val="24"/>
        </w:rPr>
        <w:t xml:space="preserve"> </w:t>
      </w:r>
      <w:r>
        <w:rPr>
          <w:rFonts w:cs="Arial"/>
          <w:szCs w:val="24"/>
        </w:rPr>
        <w:t>have</w:t>
      </w:r>
      <w:r w:rsidR="0068479D" w:rsidRPr="00915975">
        <w:rPr>
          <w:rFonts w:cs="Arial"/>
          <w:szCs w:val="24"/>
        </w:rPr>
        <w:t xml:space="preserve"> deployed further resource from outside TP </w:t>
      </w:r>
      <w:r w:rsidR="00915975">
        <w:rPr>
          <w:rFonts w:cs="Arial"/>
          <w:szCs w:val="24"/>
        </w:rPr>
        <w:t>to support</w:t>
      </w:r>
      <w:r w:rsidR="0068479D" w:rsidRPr="00915975">
        <w:rPr>
          <w:rFonts w:cs="Arial"/>
          <w:szCs w:val="24"/>
        </w:rPr>
        <w:t xml:space="preserve"> the contact centre to take calls during December and January</w:t>
      </w:r>
      <w:r w:rsidR="00915975">
        <w:rPr>
          <w:rFonts w:cs="Arial"/>
          <w:szCs w:val="24"/>
        </w:rPr>
        <w:t xml:space="preserve"> until the recruitment of the extra staff is complete</w:t>
      </w:r>
      <w:r w:rsidR="0068479D" w:rsidRPr="00915975">
        <w:rPr>
          <w:rFonts w:cs="Arial"/>
          <w:szCs w:val="24"/>
        </w:rPr>
        <w:t xml:space="preserve">. This extra resource has enabled answering 93% of the 42,213 calls offered in January with average wait times below 3.5 minutes. </w:t>
      </w:r>
    </w:p>
    <w:p w14:paraId="368A4F71" w14:textId="77777777" w:rsidR="005E24AF" w:rsidRPr="005E24AF" w:rsidRDefault="005E24AF" w:rsidP="005E24AF">
      <w:pPr>
        <w:pStyle w:val="ListParagraph"/>
        <w:rPr>
          <w:rFonts w:cs="Arial"/>
          <w:szCs w:val="24"/>
        </w:rPr>
      </w:pPr>
    </w:p>
    <w:p w14:paraId="241AB9E3" w14:textId="28C181D3" w:rsidR="0068479D" w:rsidRPr="002C1665" w:rsidRDefault="0068479D" w:rsidP="00432D39">
      <w:pPr>
        <w:pStyle w:val="ListParagraph"/>
        <w:numPr>
          <w:ilvl w:val="0"/>
          <w:numId w:val="8"/>
        </w:numPr>
        <w:rPr>
          <w:rFonts w:cs="Arial"/>
          <w:szCs w:val="24"/>
        </w:rPr>
      </w:pPr>
      <w:r w:rsidRPr="002C1665">
        <w:rPr>
          <w:rFonts w:cs="Arial"/>
          <w:szCs w:val="24"/>
        </w:rPr>
        <w:t xml:space="preserve">The prioritised bereavement and ill health calls were answered in the required standard of 85% in 30 seconds. Performance in December was similarly very good, but was based on a lower call level (as expected within </w:t>
      </w:r>
      <w:r w:rsidR="00941BB5">
        <w:rPr>
          <w:rFonts w:cs="Arial"/>
          <w:szCs w:val="24"/>
        </w:rPr>
        <w:t>the</w:t>
      </w:r>
      <w:r w:rsidRPr="002C1665">
        <w:rPr>
          <w:rFonts w:cs="Arial"/>
          <w:szCs w:val="24"/>
        </w:rPr>
        <w:t xml:space="preserve"> seasonal profile). The profile of resources and performance has been the equivalent during January of answering 9,000 calls per week and this increased resource </w:t>
      </w:r>
      <w:r w:rsidRPr="002C1665">
        <w:rPr>
          <w:rFonts w:cs="Arial"/>
          <w:szCs w:val="24"/>
        </w:rPr>
        <w:lastRenderedPageBreak/>
        <w:t>will be in place for up to a year</w:t>
      </w:r>
      <w:r w:rsidR="00941BB5">
        <w:rPr>
          <w:rFonts w:cs="Arial"/>
          <w:szCs w:val="24"/>
        </w:rPr>
        <w:t xml:space="preserve">, </w:t>
      </w:r>
      <w:r w:rsidRPr="002C1665">
        <w:rPr>
          <w:rFonts w:cs="Arial"/>
          <w:szCs w:val="24"/>
        </w:rPr>
        <w:t>until the Digital Contact Centre becomes fully effective.  During this time period we expect IT changes to be embedded that will support this change – these are</w:t>
      </w:r>
      <w:r w:rsidR="00941BB5">
        <w:rPr>
          <w:rFonts w:cs="Arial"/>
          <w:szCs w:val="24"/>
        </w:rPr>
        <w:t>:</w:t>
      </w:r>
      <w:r w:rsidRPr="002C1665">
        <w:rPr>
          <w:rFonts w:cs="Arial"/>
          <w:szCs w:val="24"/>
        </w:rPr>
        <w:t xml:space="preserve"> </w:t>
      </w:r>
    </w:p>
    <w:p w14:paraId="5D2BA0AF" w14:textId="77777777" w:rsidR="0068479D" w:rsidRDefault="0068479D" w:rsidP="00C56967">
      <w:pPr>
        <w:pStyle w:val="ListParagraph"/>
        <w:widowControl/>
        <w:numPr>
          <w:ilvl w:val="0"/>
          <w:numId w:val="23"/>
        </w:numPr>
        <w:overflowPunct/>
        <w:autoSpaceDE/>
        <w:autoSpaceDN/>
        <w:adjustRightInd/>
        <w:jc w:val="both"/>
        <w:textAlignment w:val="auto"/>
      </w:pPr>
      <w:r>
        <w:t>an improved password reset process (already implemented)</w:t>
      </w:r>
    </w:p>
    <w:p w14:paraId="6DC031C3" w14:textId="77777777" w:rsidR="0068479D" w:rsidRDefault="0068479D" w:rsidP="00C56967">
      <w:pPr>
        <w:pStyle w:val="ListParagraph"/>
        <w:widowControl/>
        <w:numPr>
          <w:ilvl w:val="0"/>
          <w:numId w:val="23"/>
        </w:numPr>
        <w:overflowPunct/>
        <w:autoSpaceDE/>
        <w:autoSpaceDN/>
        <w:adjustRightInd/>
        <w:jc w:val="both"/>
        <w:textAlignment w:val="auto"/>
      </w:pPr>
      <w:r w:rsidRPr="006A42CD">
        <w:t>a new two</w:t>
      </w:r>
      <w:r>
        <w:t>-</w:t>
      </w:r>
      <w:r w:rsidRPr="006A42CD">
        <w:t>tier log on process</w:t>
      </w:r>
      <w:r>
        <w:t xml:space="preserve"> (Q2)</w:t>
      </w:r>
    </w:p>
    <w:p w14:paraId="0141FE07" w14:textId="77777777" w:rsidR="0068479D" w:rsidRDefault="0068479D" w:rsidP="00C56967">
      <w:pPr>
        <w:pStyle w:val="ListParagraph"/>
        <w:widowControl/>
        <w:numPr>
          <w:ilvl w:val="0"/>
          <w:numId w:val="23"/>
        </w:numPr>
        <w:overflowPunct/>
        <w:autoSpaceDE/>
        <w:autoSpaceDN/>
        <w:adjustRightInd/>
        <w:jc w:val="both"/>
        <w:textAlignment w:val="auto"/>
      </w:pPr>
      <w:r>
        <w:t>Online opt out processes (Q2)</w:t>
      </w:r>
    </w:p>
    <w:p w14:paraId="32E82836" w14:textId="0A196C57" w:rsidR="0068479D" w:rsidRDefault="0068479D" w:rsidP="00C56967">
      <w:pPr>
        <w:pStyle w:val="ListParagraph"/>
        <w:widowControl/>
        <w:numPr>
          <w:ilvl w:val="0"/>
          <w:numId w:val="23"/>
        </w:numPr>
        <w:overflowPunct/>
        <w:autoSpaceDE/>
        <w:autoSpaceDN/>
        <w:adjustRightInd/>
        <w:jc w:val="both"/>
        <w:textAlignment w:val="auto"/>
      </w:pPr>
      <w:r>
        <w:t xml:space="preserve">Revised MPO dashboard and revised registration journey for new MPO accounts </w:t>
      </w:r>
    </w:p>
    <w:p w14:paraId="3AC53E79" w14:textId="77777777" w:rsidR="0068479D" w:rsidRDefault="0068479D" w:rsidP="0068479D">
      <w:pPr>
        <w:rPr>
          <w:rFonts w:cs="Arial"/>
          <w:szCs w:val="24"/>
        </w:rPr>
      </w:pPr>
    </w:p>
    <w:p w14:paraId="439929AE" w14:textId="3FAD1245" w:rsidR="00AD3CC6" w:rsidRDefault="00AD3CC6" w:rsidP="008A60DA">
      <w:pPr>
        <w:pStyle w:val="ListParagraph"/>
        <w:numPr>
          <w:ilvl w:val="0"/>
          <w:numId w:val="8"/>
        </w:numPr>
        <w:rPr>
          <w:szCs w:val="24"/>
        </w:rPr>
      </w:pPr>
      <w:r w:rsidRPr="00AD3CC6">
        <w:rPr>
          <w:szCs w:val="24"/>
        </w:rPr>
        <w:t>Th</w:t>
      </w:r>
      <w:r w:rsidR="0068479D">
        <w:rPr>
          <w:szCs w:val="24"/>
        </w:rPr>
        <w:t>e</w:t>
      </w:r>
      <w:r w:rsidRPr="00AD3CC6">
        <w:rPr>
          <w:szCs w:val="24"/>
        </w:rPr>
        <w:t xml:space="preserve"> support </w:t>
      </w:r>
      <w:r w:rsidR="0068479D">
        <w:rPr>
          <w:szCs w:val="24"/>
        </w:rPr>
        <w:t xml:space="preserve">from other areas of the business </w:t>
      </w:r>
      <w:r w:rsidRPr="00AD3CC6">
        <w:rPr>
          <w:szCs w:val="24"/>
        </w:rPr>
        <w:t xml:space="preserve">will remain in place whilst TP continue with the recruitment and training programme to increase resource in the </w:t>
      </w:r>
      <w:r w:rsidR="00941BB5">
        <w:rPr>
          <w:szCs w:val="24"/>
        </w:rPr>
        <w:t>contact</w:t>
      </w:r>
      <w:r w:rsidRPr="00AD3CC6">
        <w:rPr>
          <w:szCs w:val="24"/>
        </w:rPr>
        <w:t xml:space="preserve"> </w:t>
      </w:r>
      <w:r w:rsidR="00941BB5">
        <w:rPr>
          <w:szCs w:val="24"/>
        </w:rPr>
        <w:t xml:space="preserve">centre </w:t>
      </w:r>
      <w:r w:rsidRPr="00AD3CC6">
        <w:rPr>
          <w:szCs w:val="24"/>
        </w:rPr>
        <w:t xml:space="preserve">team.  </w:t>
      </w:r>
    </w:p>
    <w:p w14:paraId="41538813" w14:textId="77777777" w:rsidR="008A60DA" w:rsidRPr="006363CD" w:rsidRDefault="008A60DA" w:rsidP="008A60DA">
      <w:pPr>
        <w:pStyle w:val="ListParagraph"/>
        <w:rPr>
          <w:szCs w:val="24"/>
        </w:rPr>
      </w:pPr>
    </w:p>
    <w:p w14:paraId="65E0D2F2" w14:textId="7910C50D" w:rsidR="00AD3CC6" w:rsidRDefault="00AD3CC6" w:rsidP="00AD3CC6">
      <w:pPr>
        <w:pStyle w:val="ListParagraph"/>
        <w:numPr>
          <w:ilvl w:val="0"/>
          <w:numId w:val="8"/>
        </w:numPr>
        <w:rPr>
          <w:szCs w:val="24"/>
        </w:rPr>
      </w:pPr>
      <w:r w:rsidRPr="00AD3CC6">
        <w:rPr>
          <w:szCs w:val="24"/>
        </w:rPr>
        <w:t>Customer satisfaction results and associated commentary indicated a review of the call flow and call routing programming was necessary. DfE challenged TP to analyse these details, streamline the process and reduce the number of telephony options required prior to connecting to an adviser. New programming has been introduced which reduces the initial optio</w:t>
      </w:r>
      <w:r w:rsidR="00941BB5">
        <w:rPr>
          <w:szCs w:val="24"/>
        </w:rPr>
        <w:t>n selection from seven to three</w:t>
      </w:r>
      <w:r w:rsidRPr="00AD3CC6">
        <w:rPr>
          <w:szCs w:val="24"/>
        </w:rPr>
        <w:t xml:space="preserve">, with a secondary layer of options prior to connecting to an adviser.  </w:t>
      </w:r>
    </w:p>
    <w:p w14:paraId="7D098CD7" w14:textId="0DEFC34E" w:rsidR="00AD3CC6" w:rsidRDefault="00AD3CC6" w:rsidP="00FA4FED">
      <w:pPr>
        <w:pStyle w:val="ListParagraph"/>
        <w:rPr>
          <w:szCs w:val="24"/>
        </w:rPr>
      </w:pPr>
    </w:p>
    <w:p w14:paraId="56005C05" w14:textId="77777777" w:rsidR="00B86198" w:rsidRDefault="00AD3CC6" w:rsidP="00B86198">
      <w:pPr>
        <w:pStyle w:val="ListParagraph"/>
        <w:numPr>
          <w:ilvl w:val="0"/>
          <w:numId w:val="8"/>
        </w:numPr>
        <w:rPr>
          <w:szCs w:val="24"/>
        </w:rPr>
      </w:pPr>
      <w:r w:rsidRPr="00D12E7F">
        <w:rPr>
          <w:szCs w:val="24"/>
        </w:rPr>
        <w:t xml:space="preserve">Meetings have been held with the Engagement team to discuss and commence the implementation process of a webchat facility for members and are likely to continue over the next few months. </w:t>
      </w:r>
    </w:p>
    <w:p w14:paraId="3FD2C9ED" w14:textId="77777777" w:rsidR="00B86198" w:rsidRPr="00B86198" w:rsidRDefault="00B86198" w:rsidP="00B86198">
      <w:pPr>
        <w:pStyle w:val="ListParagraph"/>
        <w:rPr>
          <w:rFonts w:cs="Arial"/>
          <w:szCs w:val="24"/>
        </w:rPr>
      </w:pPr>
    </w:p>
    <w:p w14:paraId="3947FFB6" w14:textId="15D76876" w:rsidR="002F6DFB" w:rsidRPr="002F6DFB" w:rsidRDefault="00AD3CC6" w:rsidP="00CA1A9F">
      <w:pPr>
        <w:pStyle w:val="ListParagraph"/>
        <w:numPr>
          <w:ilvl w:val="0"/>
          <w:numId w:val="8"/>
        </w:numPr>
        <w:rPr>
          <w:szCs w:val="24"/>
        </w:rPr>
      </w:pPr>
      <w:r w:rsidRPr="00B86198">
        <w:rPr>
          <w:rFonts w:cs="Arial"/>
          <w:szCs w:val="24"/>
        </w:rPr>
        <w:t>DfE are monitoring contact centre performance through the SDB and service delivery group, with a challenge to TP that forecasting of contact centre traffic is in place and reported on</w:t>
      </w:r>
      <w:r w:rsidR="00941BB5">
        <w:rPr>
          <w:rFonts w:cs="Arial"/>
          <w:szCs w:val="24"/>
        </w:rPr>
        <w:t xml:space="preserve"> and</w:t>
      </w:r>
      <w:r w:rsidRPr="00B86198">
        <w:rPr>
          <w:rFonts w:cs="Arial"/>
          <w:szCs w:val="24"/>
        </w:rPr>
        <w:t xml:space="preserve"> any potential risk can be identified and mitigated. </w:t>
      </w:r>
      <w:r w:rsidR="00CA1A9F">
        <w:rPr>
          <w:rFonts w:cs="Arial"/>
          <w:szCs w:val="24"/>
        </w:rPr>
        <w:t>To demonstrate this level of challenge, TP are providing increased reporting for calls into the contact centre</w:t>
      </w:r>
      <w:r w:rsidR="000437CC">
        <w:rPr>
          <w:rFonts w:cs="Arial"/>
          <w:szCs w:val="24"/>
        </w:rPr>
        <w:t xml:space="preserve"> via the service delivery report.  </w:t>
      </w:r>
    </w:p>
    <w:p w14:paraId="231B8A63" w14:textId="77777777" w:rsidR="002F6DFB" w:rsidRPr="002F6DFB" w:rsidRDefault="002F6DFB" w:rsidP="002F6DFB">
      <w:pPr>
        <w:pStyle w:val="ListParagraph"/>
        <w:rPr>
          <w:rFonts w:cs="Arial"/>
          <w:szCs w:val="24"/>
        </w:rPr>
      </w:pPr>
    </w:p>
    <w:p w14:paraId="48630890" w14:textId="77777777" w:rsidR="002F6DFB" w:rsidRPr="00D12E7F" w:rsidRDefault="002F6DFB" w:rsidP="002F6DFB">
      <w:pPr>
        <w:pStyle w:val="ListParagraph"/>
        <w:numPr>
          <w:ilvl w:val="0"/>
          <w:numId w:val="8"/>
        </w:numPr>
        <w:rPr>
          <w:rFonts w:cs="Arial"/>
          <w:szCs w:val="24"/>
        </w:rPr>
      </w:pPr>
      <w:r w:rsidRPr="00D12E7F">
        <w:rPr>
          <w:rFonts w:cs="Arial"/>
          <w:szCs w:val="24"/>
        </w:rPr>
        <w:t xml:space="preserve">The top 4 reasons for </w:t>
      </w:r>
      <w:r>
        <w:rPr>
          <w:rFonts w:cs="Arial"/>
          <w:szCs w:val="24"/>
        </w:rPr>
        <w:t xml:space="preserve">contact </w:t>
      </w:r>
      <w:r w:rsidRPr="00D12E7F">
        <w:rPr>
          <w:rFonts w:cs="Arial"/>
          <w:szCs w:val="24"/>
        </w:rPr>
        <w:t>in this quarter are:</w:t>
      </w:r>
    </w:p>
    <w:p w14:paraId="1A4C6464" w14:textId="77777777" w:rsidR="002F6DFB" w:rsidRPr="00AD3CC6" w:rsidRDefault="002F6DFB" w:rsidP="002C1665">
      <w:pPr>
        <w:pStyle w:val="ListParagraph"/>
        <w:numPr>
          <w:ilvl w:val="0"/>
          <w:numId w:val="26"/>
        </w:numPr>
        <w:rPr>
          <w:rFonts w:cs="Arial"/>
          <w:szCs w:val="24"/>
        </w:rPr>
      </w:pPr>
      <w:r w:rsidRPr="00AD3CC6">
        <w:rPr>
          <w:rFonts w:cs="Arial"/>
          <w:szCs w:val="24"/>
        </w:rPr>
        <w:t>Tax &amp; payroll</w:t>
      </w:r>
    </w:p>
    <w:p w14:paraId="7FB40F44" w14:textId="77777777" w:rsidR="002F6DFB" w:rsidRPr="00AD3CC6" w:rsidRDefault="002F6DFB" w:rsidP="002C1665">
      <w:pPr>
        <w:pStyle w:val="ListParagraph"/>
        <w:numPr>
          <w:ilvl w:val="0"/>
          <w:numId w:val="26"/>
        </w:numPr>
        <w:rPr>
          <w:rFonts w:cs="Arial"/>
          <w:szCs w:val="24"/>
        </w:rPr>
      </w:pPr>
      <w:r w:rsidRPr="00AD3CC6">
        <w:rPr>
          <w:rFonts w:cs="Arial"/>
          <w:szCs w:val="24"/>
        </w:rPr>
        <w:t>Planning for retirement</w:t>
      </w:r>
    </w:p>
    <w:p w14:paraId="39BA93B9" w14:textId="77777777" w:rsidR="002F6DFB" w:rsidRPr="00AD3CC6" w:rsidRDefault="002F6DFB" w:rsidP="002C1665">
      <w:pPr>
        <w:pStyle w:val="ListParagraph"/>
        <w:numPr>
          <w:ilvl w:val="0"/>
          <w:numId w:val="26"/>
        </w:numPr>
        <w:rPr>
          <w:rFonts w:cs="Arial"/>
          <w:szCs w:val="24"/>
        </w:rPr>
      </w:pPr>
      <w:r w:rsidRPr="00AD3CC6">
        <w:rPr>
          <w:rFonts w:cs="Arial"/>
          <w:szCs w:val="24"/>
        </w:rPr>
        <w:t>Website (pin/password reset &amp; struggling to find info (pensioner members))</w:t>
      </w:r>
    </w:p>
    <w:p w14:paraId="2570D6D0" w14:textId="1B790A88" w:rsidR="002F6DFB" w:rsidRPr="002F6DFB" w:rsidRDefault="002F6DFB" w:rsidP="002C1665">
      <w:pPr>
        <w:pStyle w:val="ListParagraph"/>
        <w:numPr>
          <w:ilvl w:val="0"/>
          <w:numId w:val="26"/>
        </w:numPr>
        <w:rPr>
          <w:rFonts w:cs="Arial"/>
          <w:szCs w:val="24"/>
        </w:rPr>
      </w:pPr>
      <w:r w:rsidRPr="00AD3CC6">
        <w:rPr>
          <w:rFonts w:cs="Arial"/>
          <w:szCs w:val="24"/>
        </w:rPr>
        <w:t>Death</w:t>
      </w:r>
    </w:p>
    <w:p w14:paraId="6F130547" w14:textId="77777777" w:rsidR="002F6DFB" w:rsidRPr="002F6DFB" w:rsidRDefault="002F6DFB" w:rsidP="002F6DFB">
      <w:pPr>
        <w:pStyle w:val="ListParagraph"/>
        <w:rPr>
          <w:rFonts w:cs="Arial"/>
          <w:szCs w:val="24"/>
        </w:rPr>
      </w:pPr>
    </w:p>
    <w:p w14:paraId="3FB06D93" w14:textId="0FA1590B" w:rsidR="00B86198" w:rsidRPr="00CA1A9F" w:rsidRDefault="000437CC" w:rsidP="00CA1A9F">
      <w:pPr>
        <w:pStyle w:val="ListParagraph"/>
        <w:numPr>
          <w:ilvl w:val="0"/>
          <w:numId w:val="8"/>
        </w:numPr>
        <w:rPr>
          <w:szCs w:val="24"/>
        </w:rPr>
      </w:pPr>
      <w:r>
        <w:rPr>
          <w:rFonts w:cs="Arial"/>
          <w:szCs w:val="24"/>
        </w:rPr>
        <w:t xml:space="preserve">The table below </w:t>
      </w:r>
      <w:r w:rsidR="006C7EB3">
        <w:rPr>
          <w:rFonts w:cs="Arial"/>
          <w:szCs w:val="24"/>
        </w:rPr>
        <w:t xml:space="preserve">shows </w:t>
      </w:r>
      <w:r>
        <w:rPr>
          <w:rFonts w:cs="Arial"/>
          <w:szCs w:val="24"/>
        </w:rPr>
        <w:t xml:space="preserve">the number of calls </w:t>
      </w:r>
      <w:r w:rsidR="0023299F">
        <w:rPr>
          <w:rFonts w:cs="Arial"/>
          <w:szCs w:val="24"/>
        </w:rPr>
        <w:t>received</w:t>
      </w:r>
      <w:r>
        <w:rPr>
          <w:rFonts w:cs="Arial"/>
          <w:szCs w:val="24"/>
        </w:rPr>
        <w:t xml:space="preserve"> per category in the period.</w:t>
      </w:r>
    </w:p>
    <w:p w14:paraId="671A640F" w14:textId="77777777" w:rsidR="00CA1A9F" w:rsidRPr="00CA1A9F" w:rsidRDefault="00CA1A9F" w:rsidP="00CA1A9F">
      <w:pPr>
        <w:pStyle w:val="ListParagraph"/>
        <w:rPr>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0437CC" w:rsidRPr="005627FA" w14:paraId="050548CF" w14:textId="77777777" w:rsidTr="00432D39">
        <w:tc>
          <w:tcPr>
            <w:tcW w:w="1803" w:type="dxa"/>
          </w:tcPr>
          <w:p w14:paraId="202B6767" w14:textId="79AD154A" w:rsidR="000437CC" w:rsidRPr="005627FA" w:rsidRDefault="000437CC" w:rsidP="00037428">
            <w:pPr>
              <w:jc w:val="center"/>
              <w:rPr>
                <w:b/>
              </w:rPr>
            </w:pPr>
            <w:r w:rsidRPr="005627FA">
              <w:rPr>
                <w:b/>
              </w:rPr>
              <w:t>Month</w:t>
            </w:r>
          </w:p>
          <w:p w14:paraId="3C2AAB6A" w14:textId="77777777" w:rsidR="000437CC" w:rsidRPr="005627FA" w:rsidRDefault="000437CC" w:rsidP="00037428">
            <w:pPr>
              <w:jc w:val="center"/>
              <w:rPr>
                <w:b/>
              </w:rPr>
            </w:pPr>
          </w:p>
        </w:tc>
        <w:tc>
          <w:tcPr>
            <w:tcW w:w="1803" w:type="dxa"/>
          </w:tcPr>
          <w:p w14:paraId="0D39FF99" w14:textId="677C2129" w:rsidR="000437CC" w:rsidRPr="005627FA" w:rsidRDefault="000437CC" w:rsidP="00037428">
            <w:pPr>
              <w:jc w:val="center"/>
              <w:rPr>
                <w:b/>
              </w:rPr>
            </w:pPr>
            <w:r w:rsidRPr="005627FA">
              <w:rPr>
                <w:b/>
              </w:rPr>
              <w:t>Tax &amp; Payroll</w:t>
            </w:r>
          </w:p>
        </w:tc>
        <w:tc>
          <w:tcPr>
            <w:tcW w:w="1803" w:type="dxa"/>
          </w:tcPr>
          <w:p w14:paraId="38D4C10A" w14:textId="658E1B03" w:rsidR="000437CC" w:rsidRPr="005627FA" w:rsidRDefault="00037428" w:rsidP="00037428">
            <w:pPr>
              <w:jc w:val="center"/>
              <w:rPr>
                <w:b/>
              </w:rPr>
            </w:pPr>
            <w:r w:rsidRPr="005627FA">
              <w:rPr>
                <w:b/>
              </w:rPr>
              <w:t>Pla</w:t>
            </w:r>
            <w:r w:rsidR="000437CC" w:rsidRPr="005627FA">
              <w:rPr>
                <w:b/>
              </w:rPr>
              <w:t>nning for Retirement</w:t>
            </w:r>
          </w:p>
        </w:tc>
        <w:tc>
          <w:tcPr>
            <w:tcW w:w="1803" w:type="dxa"/>
          </w:tcPr>
          <w:p w14:paraId="412DB077" w14:textId="51420D83" w:rsidR="000437CC" w:rsidRPr="005627FA" w:rsidRDefault="000437CC" w:rsidP="00037428">
            <w:pPr>
              <w:jc w:val="center"/>
              <w:rPr>
                <w:b/>
              </w:rPr>
            </w:pPr>
            <w:r w:rsidRPr="005627FA">
              <w:rPr>
                <w:b/>
              </w:rPr>
              <w:t>Website</w:t>
            </w:r>
          </w:p>
        </w:tc>
        <w:tc>
          <w:tcPr>
            <w:tcW w:w="1804" w:type="dxa"/>
          </w:tcPr>
          <w:p w14:paraId="3B1DE5CA" w14:textId="0F66690F" w:rsidR="000437CC" w:rsidRPr="005627FA" w:rsidRDefault="000437CC" w:rsidP="00037428">
            <w:pPr>
              <w:jc w:val="center"/>
              <w:rPr>
                <w:b/>
              </w:rPr>
            </w:pPr>
            <w:r w:rsidRPr="005627FA">
              <w:rPr>
                <w:b/>
              </w:rPr>
              <w:t>Death</w:t>
            </w:r>
          </w:p>
        </w:tc>
      </w:tr>
      <w:tr w:rsidR="000437CC" w14:paraId="25396700" w14:textId="77777777" w:rsidTr="00432D39">
        <w:tc>
          <w:tcPr>
            <w:tcW w:w="1803" w:type="dxa"/>
          </w:tcPr>
          <w:p w14:paraId="1A6C50A4" w14:textId="279A6F91" w:rsidR="000437CC" w:rsidRDefault="000437CC" w:rsidP="00037428">
            <w:pPr>
              <w:jc w:val="center"/>
            </w:pPr>
            <w:r>
              <w:t>November</w:t>
            </w:r>
          </w:p>
        </w:tc>
        <w:tc>
          <w:tcPr>
            <w:tcW w:w="1803" w:type="dxa"/>
          </w:tcPr>
          <w:p w14:paraId="6A633609" w14:textId="77777777" w:rsidR="000437CC" w:rsidRDefault="000437CC" w:rsidP="00432D39">
            <w:pPr>
              <w:jc w:val="center"/>
            </w:pPr>
            <w:r>
              <w:t>5,965</w:t>
            </w:r>
          </w:p>
        </w:tc>
        <w:tc>
          <w:tcPr>
            <w:tcW w:w="1803" w:type="dxa"/>
          </w:tcPr>
          <w:p w14:paraId="1D9179B2" w14:textId="77777777" w:rsidR="000437CC" w:rsidRDefault="000437CC" w:rsidP="00432D39">
            <w:pPr>
              <w:jc w:val="center"/>
            </w:pPr>
            <w:r>
              <w:t>4,426</w:t>
            </w:r>
          </w:p>
        </w:tc>
        <w:tc>
          <w:tcPr>
            <w:tcW w:w="1803" w:type="dxa"/>
          </w:tcPr>
          <w:p w14:paraId="398E2550" w14:textId="77777777" w:rsidR="000437CC" w:rsidRDefault="000437CC" w:rsidP="00432D39">
            <w:pPr>
              <w:jc w:val="center"/>
            </w:pPr>
            <w:r>
              <w:t>8,230</w:t>
            </w:r>
          </w:p>
        </w:tc>
        <w:tc>
          <w:tcPr>
            <w:tcW w:w="1804" w:type="dxa"/>
          </w:tcPr>
          <w:p w14:paraId="606F3461" w14:textId="77777777" w:rsidR="000437CC" w:rsidRDefault="000437CC" w:rsidP="00432D39">
            <w:pPr>
              <w:jc w:val="center"/>
            </w:pPr>
            <w:r>
              <w:t>7,976</w:t>
            </w:r>
          </w:p>
        </w:tc>
      </w:tr>
      <w:tr w:rsidR="000437CC" w14:paraId="3A54E8F4" w14:textId="77777777" w:rsidTr="00432D39">
        <w:tc>
          <w:tcPr>
            <w:tcW w:w="1803" w:type="dxa"/>
          </w:tcPr>
          <w:p w14:paraId="524CB55E" w14:textId="664AD353" w:rsidR="000437CC" w:rsidRDefault="000437CC" w:rsidP="00037428">
            <w:pPr>
              <w:jc w:val="center"/>
            </w:pPr>
            <w:r>
              <w:t>December</w:t>
            </w:r>
          </w:p>
        </w:tc>
        <w:tc>
          <w:tcPr>
            <w:tcW w:w="1803" w:type="dxa"/>
          </w:tcPr>
          <w:p w14:paraId="4158C8AA" w14:textId="77777777" w:rsidR="000437CC" w:rsidRDefault="000437CC" w:rsidP="00432D39">
            <w:pPr>
              <w:jc w:val="center"/>
            </w:pPr>
            <w:r>
              <w:t>3,866</w:t>
            </w:r>
          </w:p>
        </w:tc>
        <w:tc>
          <w:tcPr>
            <w:tcW w:w="1803" w:type="dxa"/>
          </w:tcPr>
          <w:p w14:paraId="3AA7EF4A" w14:textId="77777777" w:rsidR="000437CC" w:rsidRDefault="000437CC" w:rsidP="00432D39">
            <w:pPr>
              <w:jc w:val="center"/>
            </w:pPr>
            <w:r>
              <w:t>2,795</w:t>
            </w:r>
          </w:p>
        </w:tc>
        <w:tc>
          <w:tcPr>
            <w:tcW w:w="1803" w:type="dxa"/>
          </w:tcPr>
          <w:p w14:paraId="59E82BF7" w14:textId="77777777" w:rsidR="000437CC" w:rsidRDefault="000437CC" w:rsidP="00432D39">
            <w:pPr>
              <w:jc w:val="center"/>
            </w:pPr>
            <w:r>
              <w:t>1,683</w:t>
            </w:r>
          </w:p>
        </w:tc>
        <w:tc>
          <w:tcPr>
            <w:tcW w:w="1804" w:type="dxa"/>
          </w:tcPr>
          <w:p w14:paraId="79332665" w14:textId="77777777" w:rsidR="000437CC" w:rsidRDefault="000437CC" w:rsidP="00432D39">
            <w:pPr>
              <w:jc w:val="center"/>
            </w:pPr>
            <w:r>
              <w:t>1,875</w:t>
            </w:r>
          </w:p>
        </w:tc>
      </w:tr>
      <w:tr w:rsidR="000437CC" w14:paraId="6FF86082" w14:textId="77777777" w:rsidTr="00432D39">
        <w:tc>
          <w:tcPr>
            <w:tcW w:w="1803" w:type="dxa"/>
          </w:tcPr>
          <w:p w14:paraId="2F750C79" w14:textId="41BFE32C" w:rsidR="000437CC" w:rsidRDefault="000437CC" w:rsidP="00037428">
            <w:pPr>
              <w:jc w:val="center"/>
            </w:pPr>
            <w:r>
              <w:t>January</w:t>
            </w:r>
          </w:p>
        </w:tc>
        <w:tc>
          <w:tcPr>
            <w:tcW w:w="1803" w:type="dxa"/>
          </w:tcPr>
          <w:p w14:paraId="2BD6484C" w14:textId="77777777" w:rsidR="000437CC" w:rsidRDefault="000437CC" w:rsidP="00432D39">
            <w:pPr>
              <w:jc w:val="center"/>
            </w:pPr>
            <w:r>
              <w:t>5,965</w:t>
            </w:r>
          </w:p>
        </w:tc>
        <w:tc>
          <w:tcPr>
            <w:tcW w:w="1803" w:type="dxa"/>
          </w:tcPr>
          <w:p w14:paraId="5F55C17F" w14:textId="77777777" w:rsidR="000437CC" w:rsidRDefault="000437CC" w:rsidP="00432D39">
            <w:pPr>
              <w:jc w:val="center"/>
            </w:pPr>
            <w:r>
              <w:t>4,426</w:t>
            </w:r>
          </w:p>
        </w:tc>
        <w:tc>
          <w:tcPr>
            <w:tcW w:w="1803" w:type="dxa"/>
          </w:tcPr>
          <w:p w14:paraId="5A9127E5" w14:textId="77777777" w:rsidR="000437CC" w:rsidRDefault="000437CC" w:rsidP="00432D39">
            <w:pPr>
              <w:jc w:val="center"/>
            </w:pPr>
            <w:r>
              <w:t>2,701</w:t>
            </w:r>
          </w:p>
        </w:tc>
        <w:tc>
          <w:tcPr>
            <w:tcW w:w="1804" w:type="dxa"/>
          </w:tcPr>
          <w:p w14:paraId="5D4660B1" w14:textId="77777777" w:rsidR="000437CC" w:rsidRDefault="000437CC" w:rsidP="00432D39">
            <w:pPr>
              <w:jc w:val="center"/>
            </w:pPr>
            <w:r>
              <w:t>2,849</w:t>
            </w:r>
          </w:p>
        </w:tc>
      </w:tr>
      <w:tr w:rsidR="000437CC" w14:paraId="6522C061" w14:textId="77777777" w:rsidTr="00432D39">
        <w:tc>
          <w:tcPr>
            <w:tcW w:w="1803" w:type="dxa"/>
          </w:tcPr>
          <w:p w14:paraId="169BB3A4" w14:textId="3A82790A" w:rsidR="000437CC" w:rsidRDefault="000437CC" w:rsidP="00037428">
            <w:pPr>
              <w:jc w:val="center"/>
            </w:pPr>
            <w:r>
              <w:t>Total</w:t>
            </w:r>
          </w:p>
        </w:tc>
        <w:tc>
          <w:tcPr>
            <w:tcW w:w="1803" w:type="dxa"/>
          </w:tcPr>
          <w:p w14:paraId="44EB4E52" w14:textId="77777777" w:rsidR="000437CC" w:rsidRDefault="000437CC" w:rsidP="00432D39">
            <w:pPr>
              <w:jc w:val="center"/>
            </w:pPr>
            <w:r>
              <w:t>15,974</w:t>
            </w:r>
          </w:p>
        </w:tc>
        <w:tc>
          <w:tcPr>
            <w:tcW w:w="1803" w:type="dxa"/>
          </w:tcPr>
          <w:p w14:paraId="3658E0F4" w14:textId="77777777" w:rsidR="000437CC" w:rsidRDefault="000437CC" w:rsidP="00432D39">
            <w:pPr>
              <w:jc w:val="center"/>
            </w:pPr>
            <w:r>
              <w:t>12,888</w:t>
            </w:r>
          </w:p>
        </w:tc>
        <w:tc>
          <w:tcPr>
            <w:tcW w:w="1803" w:type="dxa"/>
          </w:tcPr>
          <w:p w14:paraId="39FF6D7A" w14:textId="77777777" w:rsidR="000437CC" w:rsidRDefault="000437CC" w:rsidP="00432D39">
            <w:pPr>
              <w:jc w:val="center"/>
            </w:pPr>
            <w:r>
              <w:t>8,230</w:t>
            </w:r>
          </w:p>
        </w:tc>
        <w:tc>
          <w:tcPr>
            <w:tcW w:w="1804" w:type="dxa"/>
          </w:tcPr>
          <w:p w14:paraId="05C15692" w14:textId="77777777" w:rsidR="000437CC" w:rsidRDefault="000437CC" w:rsidP="00432D39">
            <w:pPr>
              <w:jc w:val="center"/>
            </w:pPr>
            <w:r>
              <w:t>7,976</w:t>
            </w:r>
          </w:p>
        </w:tc>
      </w:tr>
    </w:tbl>
    <w:p w14:paraId="16C1F244" w14:textId="77777777" w:rsidR="00037428" w:rsidRPr="00037428" w:rsidRDefault="00037428" w:rsidP="00037428">
      <w:pPr>
        <w:pStyle w:val="ListParagraph"/>
        <w:rPr>
          <w:szCs w:val="24"/>
        </w:rPr>
      </w:pPr>
    </w:p>
    <w:p w14:paraId="5AE15929" w14:textId="0990E586" w:rsidR="00AD3CC6" w:rsidRPr="00AD3CC6" w:rsidRDefault="00AD3CC6" w:rsidP="00D12E7F">
      <w:pPr>
        <w:pStyle w:val="ListParagraph"/>
        <w:numPr>
          <w:ilvl w:val="0"/>
          <w:numId w:val="8"/>
        </w:numPr>
        <w:rPr>
          <w:szCs w:val="24"/>
        </w:rPr>
      </w:pPr>
      <w:r w:rsidRPr="00AD3CC6">
        <w:rPr>
          <w:szCs w:val="24"/>
        </w:rPr>
        <w:t xml:space="preserve">To further enhance member experience, a group of representatives from the Contact Centre have been working closely with the Engagement team to </w:t>
      </w:r>
      <w:r w:rsidR="008F2BCE">
        <w:rPr>
          <w:szCs w:val="24"/>
        </w:rPr>
        <w:t xml:space="preserve">give their insight </w:t>
      </w:r>
      <w:r w:rsidRPr="00AD3CC6">
        <w:rPr>
          <w:szCs w:val="24"/>
        </w:rPr>
        <w:t>on the website and suggested improvements are implemented to reduce calls to the business.</w:t>
      </w:r>
    </w:p>
    <w:p w14:paraId="371FC8A0" w14:textId="77777777" w:rsidR="00CD4096" w:rsidRDefault="00CD4096" w:rsidP="00C7117E">
      <w:pPr>
        <w:pStyle w:val="Default"/>
        <w:ind w:left="1440"/>
        <w:rPr>
          <w:rFonts w:ascii="Arial" w:hAnsi="Arial" w:cs="Arial"/>
          <w:color w:val="auto"/>
        </w:rPr>
      </w:pPr>
    </w:p>
    <w:p w14:paraId="4245AC9B" w14:textId="76BEFAEA" w:rsidR="0063540D" w:rsidRDefault="00E529EC" w:rsidP="00D12E7F">
      <w:pPr>
        <w:pStyle w:val="Default"/>
        <w:numPr>
          <w:ilvl w:val="0"/>
          <w:numId w:val="8"/>
        </w:numPr>
        <w:rPr>
          <w:rFonts w:ascii="Arial" w:hAnsi="Arial" w:cs="Arial"/>
        </w:rPr>
      </w:pPr>
      <w:r>
        <w:rPr>
          <w:rFonts w:ascii="Arial" w:hAnsi="Arial" w:cs="Arial"/>
          <w:color w:val="auto"/>
        </w:rPr>
        <w:t>During this period</w:t>
      </w:r>
      <w:r w:rsidR="004E4263">
        <w:rPr>
          <w:rFonts w:ascii="Arial" w:hAnsi="Arial" w:cs="Arial"/>
          <w:color w:val="auto"/>
        </w:rPr>
        <w:t>, DfE</w:t>
      </w:r>
      <w:r w:rsidR="00941BB5">
        <w:rPr>
          <w:rFonts w:ascii="Arial" w:hAnsi="Arial" w:cs="Arial"/>
          <w:color w:val="auto"/>
        </w:rPr>
        <w:t>,</w:t>
      </w:r>
      <w:r w:rsidR="004E4263">
        <w:rPr>
          <w:rFonts w:ascii="Arial" w:hAnsi="Arial" w:cs="Arial"/>
          <w:color w:val="auto"/>
        </w:rPr>
        <w:t xml:space="preserve"> via</w:t>
      </w:r>
      <w:r>
        <w:rPr>
          <w:rFonts w:ascii="Arial" w:hAnsi="Arial" w:cs="Arial"/>
          <w:color w:val="auto"/>
        </w:rPr>
        <w:t xml:space="preserve"> the QSB</w:t>
      </w:r>
      <w:r w:rsidR="00941BB5">
        <w:rPr>
          <w:rFonts w:ascii="Arial" w:hAnsi="Arial" w:cs="Arial"/>
          <w:color w:val="auto"/>
        </w:rPr>
        <w:t>,</w:t>
      </w:r>
      <w:r>
        <w:rPr>
          <w:rFonts w:ascii="Arial" w:hAnsi="Arial" w:cs="Arial"/>
          <w:color w:val="auto"/>
        </w:rPr>
        <w:t xml:space="preserve"> </w:t>
      </w:r>
      <w:r w:rsidR="00E53029">
        <w:rPr>
          <w:rFonts w:ascii="Arial" w:hAnsi="Arial" w:cs="Arial"/>
          <w:color w:val="auto"/>
        </w:rPr>
        <w:t xml:space="preserve">has </w:t>
      </w:r>
      <w:r w:rsidR="00D12E7F">
        <w:rPr>
          <w:rFonts w:ascii="Arial" w:hAnsi="Arial" w:cs="Arial"/>
          <w:color w:val="auto"/>
        </w:rPr>
        <w:t xml:space="preserve">continued to </w:t>
      </w:r>
      <w:r>
        <w:rPr>
          <w:rFonts w:ascii="Arial" w:hAnsi="Arial" w:cs="Arial"/>
          <w:color w:val="auto"/>
        </w:rPr>
        <w:t xml:space="preserve">challenge Capita to consider what steps can be taken to improve member experience whilst the improvements </w:t>
      </w:r>
      <w:r w:rsidR="004E4263">
        <w:rPr>
          <w:rFonts w:ascii="Arial" w:hAnsi="Arial" w:cs="Arial"/>
          <w:color w:val="auto"/>
        </w:rPr>
        <w:t xml:space="preserve">in telephony capacity and </w:t>
      </w:r>
      <w:r>
        <w:rPr>
          <w:rFonts w:ascii="Arial" w:hAnsi="Arial" w:cs="Arial"/>
          <w:color w:val="auto"/>
        </w:rPr>
        <w:t>digital engagement take effect</w:t>
      </w:r>
      <w:r w:rsidR="004E4263">
        <w:rPr>
          <w:rFonts w:ascii="Arial" w:hAnsi="Arial" w:cs="Arial"/>
          <w:color w:val="auto"/>
        </w:rPr>
        <w:t xml:space="preserve">.  DfE </w:t>
      </w:r>
      <w:r w:rsidR="004E4263" w:rsidRPr="00D12E7F">
        <w:rPr>
          <w:rFonts w:ascii="Arial" w:hAnsi="Arial" w:cs="Arial"/>
          <w:color w:val="auto"/>
        </w:rPr>
        <w:t xml:space="preserve">are monitoring TP progress towards resolving this issue via the service delivery groups and </w:t>
      </w:r>
      <w:r w:rsidR="009919BE" w:rsidRPr="00D12E7F">
        <w:rPr>
          <w:rFonts w:ascii="Arial" w:hAnsi="Arial" w:cs="Arial"/>
          <w:color w:val="auto"/>
        </w:rPr>
        <w:t xml:space="preserve">monthly </w:t>
      </w:r>
      <w:r w:rsidR="004E4263" w:rsidRPr="00D12E7F">
        <w:rPr>
          <w:rFonts w:ascii="Arial" w:hAnsi="Arial" w:cs="Arial"/>
          <w:color w:val="auto"/>
        </w:rPr>
        <w:t>Service Delivery Board</w:t>
      </w:r>
      <w:r w:rsidR="009919BE" w:rsidRPr="00D12E7F">
        <w:rPr>
          <w:rFonts w:ascii="Arial" w:hAnsi="Arial" w:cs="Arial"/>
          <w:color w:val="auto"/>
        </w:rPr>
        <w:t xml:space="preserve"> meeting</w:t>
      </w:r>
      <w:r w:rsidR="00D12E7F" w:rsidRPr="00D12E7F">
        <w:rPr>
          <w:rFonts w:ascii="Arial" w:hAnsi="Arial" w:cs="Arial"/>
          <w:color w:val="auto"/>
        </w:rPr>
        <w:t xml:space="preserve">, </w:t>
      </w:r>
      <w:r w:rsidR="00E53029" w:rsidRPr="00D12E7F">
        <w:rPr>
          <w:rFonts w:ascii="Arial" w:hAnsi="Arial" w:cs="Arial"/>
        </w:rPr>
        <w:t>issue TP.I.034 refers</w:t>
      </w:r>
      <w:r w:rsidR="00D12E7F">
        <w:rPr>
          <w:rFonts w:ascii="Arial" w:hAnsi="Arial" w:cs="Arial"/>
        </w:rPr>
        <w:t>.</w:t>
      </w:r>
    </w:p>
    <w:p w14:paraId="0DFBB46E" w14:textId="77777777" w:rsidR="00D12E7F" w:rsidRDefault="00D12E7F" w:rsidP="00D12E7F">
      <w:pPr>
        <w:pStyle w:val="ListParagraph"/>
        <w:rPr>
          <w:rFonts w:cs="Arial"/>
        </w:rPr>
      </w:pPr>
    </w:p>
    <w:p w14:paraId="7E32FABA" w14:textId="08987825" w:rsidR="00EA52F5" w:rsidRPr="00334511" w:rsidRDefault="00AE718F" w:rsidP="00C7117E">
      <w:pPr>
        <w:pStyle w:val="Heading3"/>
        <w:rPr>
          <w:rFonts w:cs="Arial"/>
          <w:b/>
          <w:color w:val="FF0000"/>
          <w:szCs w:val="24"/>
        </w:rPr>
      </w:pPr>
      <w:r w:rsidRPr="00AF2D17">
        <w:rPr>
          <w:rFonts w:cs="Arial"/>
          <w:b/>
          <w:color w:val="000000" w:themeColor="text1"/>
          <w:szCs w:val="24"/>
        </w:rPr>
        <w:t>S</w:t>
      </w:r>
      <w:r w:rsidR="009024CC">
        <w:rPr>
          <w:rFonts w:cs="Arial"/>
          <w:b/>
          <w:color w:val="000000" w:themeColor="text1"/>
          <w:szCs w:val="24"/>
        </w:rPr>
        <w:t>takeholder engagement</w:t>
      </w:r>
    </w:p>
    <w:p w14:paraId="6A1C4439" w14:textId="7C7EEB95" w:rsidR="002230A6" w:rsidRDefault="002230A6" w:rsidP="00F6615B">
      <w:pPr>
        <w:pStyle w:val="Heading3"/>
      </w:pPr>
    </w:p>
    <w:p w14:paraId="5972311F" w14:textId="6E341586" w:rsidR="002230A6" w:rsidRDefault="000209BB" w:rsidP="00D12E7F">
      <w:pPr>
        <w:pStyle w:val="Heading3"/>
        <w:numPr>
          <w:ilvl w:val="0"/>
          <w:numId w:val="8"/>
        </w:numPr>
        <w:rPr>
          <w:rFonts w:cs="Arial"/>
          <w:color w:val="000000" w:themeColor="text1"/>
          <w:szCs w:val="24"/>
        </w:rPr>
      </w:pPr>
      <w:r>
        <w:rPr>
          <w:rFonts w:cs="Arial"/>
          <w:color w:val="000000" w:themeColor="text1"/>
          <w:szCs w:val="24"/>
        </w:rPr>
        <w:t xml:space="preserve">In the </w:t>
      </w:r>
      <w:r w:rsidR="002C1665">
        <w:rPr>
          <w:rFonts w:cs="Arial"/>
          <w:color w:val="000000" w:themeColor="text1"/>
          <w:szCs w:val="24"/>
        </w:rPr>
        <w:t>period</w:t>
      </w:r>
      <w:r>
        <w:rPr>
          <w:rFonts w:cs="Arial"/>
          <w:color w:val="000000" w:themeColor="text1"/>
          <w:szCs w:val="24"/>
        </w:rPr>
        <w:t>, there were twelve</w:t>
      </w:r>
      <w:r w:rsidR="002230A6" w:rsidRPr="002230A6">
        <w:rPr>
          <w:rFonts w:cs="Arial"/>
          <w:color w:val="000000" w:themeColor="text1"/>
          <w:szCs w:val="24"/>
        </w:rPr>
        <w:t xml:space="preserve"> seminars </w:t>
      </w:r>
      <w:r w:rsidR="004E4263">
        <w:rPr>
          <w:rFonts w:cs="Arial"/>
          <w:color w:val="000000" w:themeColor="text1"/>
          <w:szCs w:val="24"/>
        </w:rPr>
        <w:t>for TPS members</w:t>
      </w:r>
      <w:r w:rsidR="002230A6" w:rsidRPr="002230A6">
        <w:rPr>
          <w:rFonts w:cs="Arial"/>
          <w:color w:val="000000" w:themeColor="text1"/>
          <w:szCs w:val="24"/>
        </w:rPr>
        <w:t xml:space="preserve">, with </w:t>
      </w:r>
      <w:r>
        <w:rPr>
          <w:rFonts w:cs="Arial"/>
          <w:color w:val="000000" w:themeColor="text1"/>
          <w:szCs w:val="24"/>
        </w:rPr>
        <w:t>205</w:t>
      </w:r>
      <w:r w:rsidR="002230A6" w:rsidRPr="002230A6">
        <w:rPr>
          <w:rFonts w:cs="Arial"/>
          <w:color w:val="000000" w:themeColor="text1"/>
          <w:szCs w:val="24"/>
        </w:rPr>
        <w:t xml:space="preserve"> people registering. </w:t>
      </w:r>
      <w:r>
        <w:rPr>
          <w:rFonts w:cs="Arial"/>
          <w:color w:val="000000" w:themeColor="text1"/>
          <w:szCs w:val="24"/>
        </w:rPr>
        <w:t>The</w:t>
      </w:r>
      <w:r w:rsidR="002230A6" w:rsidRPr="002230A6">
        <w:rPr>
          <w:rFonts w:cs="Arial"/>
          <w:color w:val="000000" w:themeColor="text1"/>
          <w:szCs w:val="24"/>
        </w:rPr>
        <w:t xml:space="preserve"> webinar programme delivered eight</w:t>
      </w:r>
      <w:r>
        <w:rPr>
          <w:rFonts w:cs="Arial"/>
          <w:color w:val="000000" w:themeColor="text1"/>
          <w:szCs w:val="24"/>
        </w:rPr>
        <w:t>een</w:t>
      </w:r>
      <w:r w:rsidR="002230A6" w:rsidRPr="002230A6">
        <w:rPr>
          <w:rFonts w:cs="Arial"/>
          <w:color w:val="000000" w:themeColor="text1"/>
          <w:szCs w:val="24"/>
        </w:rPr>
        <w:t xml:space="preserve"> webinars </w:t>
      </w:r>
      <w:r>
        <w:rPr>
          <w:rFonts w:cs="Arial"/>
          <w:color w:val="000000" w:themeColor="text1"/>
          <w:szCs w:val="24"/>
        </w:rPr>
        <w:t>with</w:t>
      </w:r>
      <w:r w:rsidR="002230A6" w:rsidRPr="002230A6">
        <w:rPr>
          <w:rFonts w:cs="Arial"/>
          <w:color w:val="000000" w:themeColor="text1"/>
          <w:szCs w:val="24"/>
        </w:rPr>
        <w:t xml:space="preserve"> </w:t>
      </w:r>
      <w:r>
        <w:rPr>
          <w:rFonts w:cs="Arial"/>
          <w:color w:val="000000" w:themeColor="text1"/>
          <w:szCs w:val="24"/>
        </w:rPr>
        <w:t>176 people registering</w:t>
      </w:r>
      <w:r w:rsidR="002230A6" w:rsidRPr="002230A6">
        <w:rPr>
          <w:rFonts w:cs="Arial"/>
          <w:color w:val="000000" w:themeColor="text1"/>
          <w:szCs w:val="24"/>
        </w:rPr>
        <w:t xml:space="preserve"> for the events.  </w:t>
      </w:r>
    </w:p>
    <w:p w14:paraId="0CD35A1E" w14:textId="77777777" w:rsidR="002230A6" w:rsidRPr="002230A6" w:rsidRDefault="002230A6" w:rsidP="00C7117E"/>
    <w:p w14:paraId="253A7643" w14:textId="15030E4C" w:rsidR="006A16A6" w:rsidRPr="006A16A6" w:rsidRDefault="000209BB" w:rsidP="006A16A6">
      <w:pPr>
        <w:pStyle w:val="ListParagraph"/>
        <w:numPr>
          <w:ilvl w:val="0"/>
          <w:numId w:val="8"/>
        </w:numPr>
        <w:rPr>
          <w:szCs w:val="24"/>
        </w:rPr>
      </w:pPr>
      <w:r w:rsidRPr="00FA4FED">
        <w:rPr>
          <w:rFonts w:cs="Arial"/>
          <w:color w:val="000000" w:themeColor="text1"/>
          <w:kern w:val="28"/>
          <w:szCs w:val="24"/>
        </w:rPr>
        <w:t>The Teachers’ Pensions Action Forum (TPAF) event took place in London in November, with representatives from all stakeholder groups.  The workshops covered Monthly Data Collection (MDC) and Employer Review (MDC2), incorporating My Pension Online (MPO).  Positive feedback was</w:t>
      </w:r>
      <w:r w:rsidR="00FA4FED" w:rsidRPr="00FA4FED">
        <w:rPr>
          <w:rFonts w:cs="Arial"/>
          <w:color w:val="000000" w:themeColor="text1"/>
          <w:kern w:val="28"/>
          <w:szCs w:val="24"/>
        </w:rPr>
        <w:t xml:space="preserve"> </w:t>
      </w:r>
      <w:r w:rsidR="0023299F" w:rsidRPr="00FA4FED">
        <w:rPr>
          <w:rFonts w:cs="Arial"/>
          <w:color w:val="000000" w:themeColor="text1"/>
          <w:kern w:val="28"/>
          <w:szCs w:val="24"/>
        </w:rPr>
        <w:t>received</w:t>
      </w:r>
      <w:r w:rsidR="00FA4FED" w:rsidRPr="00FA4FED">
        <w:rPr>
          <w:rFonts w:cs="Arial"/>
          <w:color w:val="000000" w:themeColor="text1"/>
          <w:kern w:val="28"/>
          <w:szCs w:val="24"/>
        </w:rPr>
        <w:t xml:space="preserve"> from event attendee</w:t>
      </w:r>
      <w:r w:rsidR="00FA4FED">
        <w:rPr>
          <w:rFonts w:cs="Arial"/>
          <w:color w:val="000000" w:themeColor="text1"/>
          <w:kern w:val="28"/>
          <w:szCs w:val="24"/>
        </w:rPr>
        <w:t>s.</w:t>
      </w:r>
    </w:p>
    <w:p w14:paraId="1EC7112A" w14:textId="77777777" w:rsidR="006A16A6" w:rsidRPr="006A16A6" w:rsidRDefault="006A16A6" w:rsidP="006A16A6">
      <w:pPr>
        <w:pStyle w:val="ListParagraph"/>
        <w:rPr>
          <w:szCs w:val="24"/>
        </w:rPr>
      </w:pPr>
    </w:p>
    <w:p w14:paraId="6FFF9329" w14:textId="2EE7C225" w:rsidR="006A16A6" w:rsidRPr="0029327F" w:rsidRDefault="006A16A6" w:rsidP="006A16A6">
      <w:pPr>
        <w:pStyle w:val="Heading3"/>
        <w:numPr>
          <w:ilvl w:val="0"/>
          <w:numId w:val="8"/>
        </w:numPr>
        <w:rPr>
          <w:rFonts w:cs="Arial"/>
          <w:szCs w:val="24"/>
        </w:rPr>
      </w:pPr>
      <w:r>
        <w:t xml:space="preserve">Acting on feedback </w:t>
      </w:r>
      <w:r w:rsidRPr="006E77BB">
        <w:t>from TPSPB</w:t>
      </w:r>
      <w:r>
        <w:t xml:space="preserve">, </w:t>
      </w:r>
      <w:r w:rsidRPr="006E77BB">
        <w:t xml:space="preserve">DfE </w:t>
      </w:r>
      <w:r>
        <w:t xml:space="preserve">have continued to </w:t>
      </w:r>
      <w:r w:rsidRPr="006E77BB">
        <w:t>challenge</w:t>
      </w:r>
      <w:r>
        <w:t xml:space="preserve"> TP to generate </w:t>
      </w:r>
      <w:r w:rsidR="0023299F">
        <w:t>members’</w:t>
      </w:r>
      <w:r>
        <w:t xml:space="preserve"> engagement opportunities via My Pension Online (MPO).  </w:t>
      </w:r>
      <w:r w:rsidRPr="0029327F">
        <w:rPr>
          <w:rFonts w:cs="Arial"/>
          <w:szCs w:val="24"/>
        </w:rPr>
        <w:t>There are now 670k members with a</w:t>
      </w:r>
      <w:r w:rsidR="006375F9">
        <w:rPr>
          <w:rFonts w:cs="Arial"/>
          <w:szCs w:val="24"/>
        </w:rPr>
        <w:t>n</w:t>
      </w:r>
      <w:r w:rsidRPr="0029327F">
        <w:rPr>
          <w:rFonts w:cs="Arial"/>
          <w:szCs w:val="24"/>
        </w:rPr>
        <w:t xml:space="preserve"> MPO account, an increase of 48k in the period.  This success is attributed to the launch of the Employer MPO report which has generated 13k registrations since </w:t>
      </w:r>
      <w:r w:rsidR="006375F9">
        <w:rPr>
          <w:rFonts w:cs="Arial"/>
          <w:szCs w:val="24"/>
        </w:rPr>
        <w:t>its</w:t>
      </w:r>
      <w:r w:rsidRPr="0029327F">
        <w:rPr>
          <w:rFonts w:cs="Arial"/>
          <w:szCs w:val="24"/>
        </w:rPr>
        <w:t xml:space="preserve"> launch</w:t>
      </w:r>
      <w:r>
        <w:rPr>
          <w:rFonts w:cs="Arial"/>
          <w:szCs w:val="24"/>
        </w:rPr>
        <w:t xml:space="preserve"> in July 2017</w:t>
      </w:r>
      <w:r w:rsidRPr="0029327F">
        <w:rPr>
          <w:rFonts w:cs="Arial"/>
          <w:szCs w:val="24"/>
        </w:rPr>
        <w:t>.</w:t>
      </w:r>
    </w:p>
    <w:p w14:paraId="3ABD82F5" w14:textId="77777777" w:rsidR="006A16A6" w:rsidRPr="0029327F" w:rsidRDefault="006A16A6" w:rsidP="006A16A6">
      <w:pPr>
        <w:rPr>
          <w:rFonts w:cs="Arial"/>
          <w:szCs w:val="24"/>
        </w:rPr>
      </w:pPr>
    </w:p>
    <w:p w14:paraId="3A146677" w14:textId="220BB2CD" w:rsidR="002C1665" w:rsidRPr="00A835D2" w:rsidRDefault="006A16A6" w:rsidP="00432D39">
      <w:pPr>
        <w:pStyle w:val="ListParagraph"/>
        <w:numPr>
          <w:ilvl w:val="0"/>
          <w:numId w:val="8"/>
        </w:numPr>
        <w:rPr>
          <w:rFonts w:cs="Arial"/>
          <w:szCs w:val="24"/>
        </w:rPr>
      </w:pPr>
      <w:r w:rsidRPr="00A835D2">
        <w:rPr>
          <w:rFonts w:cs="Arial"/>
          <w:szCs w:val="24"/>
        </w:rPr>
        <w:t xml:space="preserve">TP were challenged </w:t>
      </w:r>
      <w:r w:rsidR="008F2BCE" w:rsidRPr="00A835D2">
        <w:rPr>
          <w:rFonts w:cs="Arial"/>
          <w:szCs w:val="24"/>
        </w:rPr>
        <w:t xml:space="preserve">by TPARG </w:t>
      </w:r>
      <w:r w:rsidRPr="00A835D2">
        <w:rPr>
          <w:rFonts w:cs="Arial"/>
          <w:szCs w:val="24"/>
        </w:rPr>
        <w:t xml:space="preserve">to broaden the scope of engagements with </w:t>
      </w:r>
      <w:r w:rsidR="0023299F" w:rsidRPr="00A835D2">
        <w:rPr>
          <w:rFonts w:cs="Arial"/>
          <w:szCs w:val="24"/>
        </w:rPr>
        <w:t>employers covered</w:t>
      </w:r>
      <w:r w:rsidRPr="00A835D2">
        <w:rPr>
          <w:rFonts w:cs="Arial"/>
          <w:szCs w:val="24"/>
        </w:rPr>
        <w:t xml:space="preserve"> by outcome measures, to maximise opportunities to obtain feedback.   A pilot to capture employer feedback via the website commenced in January 2018</w:t>
      </w:r>
      <w:r w:rsidR="00A835D2" w:rsidRPr="00A835D2">
        <w:rPr>
          <w:rFonts w:cs="Arial"/>
          <w:szCs w:val="24"/>
        </w:rPr>
        <w:t>.</w:t>
      </w:r>
    </w:p>
    <w:p w14:paraId="197D40E3" w14:textId="77777777" w:rsidR="006A16A6" w:rsidRPr="006A16A6" w:rsidRDefault="006A16A6" w:rsidP="006A16A6">
      <w:pPr>
        <w:rPr>
          <w:szCs w:val="24"/>
        </w:rPr>
      </w:pPr>
    </w:p>
    <w:tbl>
      <w:tblPr>
        <w:tblStyle w:val="TableGrid"/>
        <w:tblW w:w="0" w:type="auto"/>
        <w:tblInd w:w="108" w:type="dxa"/>
        <w:tblLook w:val="04A0" w:firstRow="1" w:lastRow="0" w:firstColumn="1" w:lastColumn="0" w:noHBand="0" w:noVBand="1"/>
      </w:tblPr>
      <w:tblGrid>
        <w:gridCol w:w="7230"/>
        <w:gridCol w:w="1134"/>
      </w:tblGrid>
      <w:tr w:rsidR="00B6364C" w:rsidRPr="004F05CF" w14:paraId="20EB6FAA" w14:textId="77777777" w:rsidTr="00EF1633">
        <w:trPr>
          <w:trHeight w:val="399"/>
        </w:trPr>
        <w:tc>
          <w:tcPr>
            <w:tcW w:w="7230" w:type="dxa"/>
          </w:tcPr>
          <w:p w14:paraId="1F1D0B05" w14:textId="42827E64" w:rsidR="00B6364C" w:rsidRDefault="00B6364C" w:rsidP="00C7117E">
            <w:pPr>
              <w:rPr>
                <w:rFonts w:cs="Arial"/>
                <w:b/>
                <w:color w:val="000000"/>
                <w:szCs w:val="24"/>
                <w:lang w:eastAsia="en-GB"/>
              </w:rPr>
            </w:pPr>
            <w:r w:rsidRPr="004F05CF">
              <w:rPr>
                <w:rFonts w:cs="Arial"/>
                <w:color w:val="000000" w:themeColor="text1"/>
                <w:szCs w:val="24"/>
              </w:rPr>
              <w:br w:type="page"/>
            </w:r>
            <w:r w:rsidRPr="004F05CF">
              <w:rPr>
                <w:rFonts w:cs="Arial"/>
                <w:b/>
                <w:color w:val="000000"/>
                <w:szCs w:val="24"/>
                <w:lang w:eastAsia="en-GB"/>
              </w:rPr>
              <w:t>Member engagement and campaigns</w:t>
            </w:r>
          </w:p>
          <w:p w14:paraId="383C8A58" w14:textId="77777777" w:rsidR="002E6431" w:rsidRPr="004F05CF" w:rsidRDefault="002E6431" w:rsidP="00C7117E">
            <w:pPr>
              <w:rPr>
                <w:rFonts w:cs="Arial"/>
                <w:b/>
                <w:szCs w:val="24"/>
              </w:rPr>
            </w:pPr>
          </w:p>
        </w:tc>
        <w:tc>
          <w:tcPr>
            <w:tcW w:w="1134" w:type="dxa"/>
            <w:shd w:val="clear" w:color="auto" w:fill="00B050"/>
          </w:tcPr>
          <w:p w14:paraId="05942F69" w14:textId="77777777" w:rsidR="00B6364C" w:rsidRPr="004F05CF" w:rsidRDefault="00B6364C" w:rsidP="00C7117E">
            <w:pPr>
              <w:rPr>
                <w:rFonts w:cs="Arial"/>
                <w:color w:val="FFC000"/>
                <w:szCs w:val="24"/>
              </w:rPr>
            </w:pPr>
            <w:r w:rsidRPr="004F05CF">
              <w:rPr>
                <w:rFonts w:cs="Arial"/>
                <w:b/>
                <w:noProof/>
                <w:szCs w:val="24"/>
                <w:lang w:eastAsia="en-GB"/>
              </w:rPr>
              <mc:AlternateContent>
                <mc:Choice Requires="wps">
                  <w:drawing>
                    <wp:anchor distT="4294967295" distB="4294967295" distL="114300" distR="114300" simplePos="0" relativeHeight="251656704" behindDoc="0" locked="0" layoutInCell="1" allowOverlap="1" wp14:anchorId="11F911AA" wp14:editId="1B2759A3">
                      <wp:simplePos x="0" y="0"/>
                      <wp:positionH relativeFrom="column">
                        <wp:posOffset>56291</wp:posOffset>
                      </wp:positionH>
                      <wp:positionV relativeFrom="paragraph">
                        <wp:posOffset>156621</wp:posOffset>
                      </wp:positionV>
                      <wp:extent cx="495300" cy="0"/>
                      <wp:effectExtent l="0" t="76200" r="19050" b="952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27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26EFF" id="AutoShape 2" o:spid="_x0000_s1026" type="#_x0000_t32" style="position:absolute;margin-left:4.45pt;margin-top:12.35pt;width:3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" strokeweight="1pt">
                      <v:stroke endarrow="block"/>
                      <v:shadow color="#7f7f7f [1601]" offset="1pt"/>
                    </v:shape>
                  </w:pict>
                </mc:Fallback>
              </mc:AlternateContent>
            </w:r>
          </w:p>
        </w:tc>
      </w:tr>
    </w:tbl>
    <w:p w14:paraId="0327A028" w14:textId="77777777" w:rsidR="00FA5C5F" w:rsidRPr="004F05CF" w:rsidRDefault="00FA5C5F" w:rsidP="00C7117E">
      <w:pPr>
        <w:pStyle w:val="DeptBullets"/>
        <w:numPr>
          <w:ilvl w:val="0"/>
          <w:numId w:val="0"/>
        </w:numPr>
        <w:spacing w:after="0"/>
        <w:rPr>
          <w:rFonts w:cs="Arial"/>
          <w:color w:val="000000" w:themeColor="text1"/>
          <w:szCs w:val="24"/>
        </w:rPr>
      </w:pPr>
    </w:p>
    <w:p w14:paraId="2237D861" w14:textId="517880D5" w:rsidR="00CD4096" w:rsidRPr="004F05CF" w:rsidRDefault="00CD4096" w:rsidP="00D12E7F">
      <w:pPr>
        <w:pStyle w:val="DeptBullets"/>
        <w:numPr>
          <w:ilvl w:val="0"/>
          <w:numId w:val="8"/>
        </w:numPr>
        <w:spacing w:after="0"/>
        <w:rPr>
          <w:rFonts w:cs="Arial"/>
          <w:szCs w:val="24"/>
        </w:rPr>
      </w:pPr>
      <w:r w:rsidRPr="004F05CF">
        <w:rPr>
          <w:rFonts w:cs="Arial"/>
          <w:color w:val="000000" w:themeColor="text1"/>
          <w:szCs w:val="24"/>
        </w:rPr>
        <w:t xml:space="preserve">Engagement contract Outcomes 2 </w:t>
      </w:r>
      <w:r>
        <w:rPr>
          <w:rFonts w:cs="Arial"/>
          <w:color w:val="000000" w:themeColor="text1"/>
          <w:szCs w:val="24"/>
        </w:rPr>
        <w:t>&amp;</w:t>
      </w:r>
      <w:r w:rsidRPr="004F05CF">
        <w:rPr>
          <w:rFonts w:cs="Arial"/>
          <w:color w:val="000000" w:themeColor="text1"/>
          <w:szCs w:val="24"/>
        </w:rPr>
        <w:t xml:space="preserve"> 3</w:t>
      </w:r>
      <w:r w:rsidR="00A75C61">
        <w:rPr>
          <w:rFonts w:cs="Arial"/>
          <w:color w:val="000000" w:themeColor="text1"/>
          <w:szCs w:val="24"/>
        </w:rPr>
        <w:t xml:space="preserve"> for contract year 7 (1 October 2017</w:t>
      </w:r>
      <w:r>
        <w:rPr>
          <w:rFonts w:cs="Arial"/>
          <w:color w:val="000000" w:themeColor="text1"/>
          <w:szCs w:val="24"/>
        </w:rPr>
        <w:t xml:space="preserve"> to 30 September 201</w:t>
      </w:r>
      <w:r w:rsidR="00A75C61">
        <w:rPr>
          <w:rFonts w:cs="Arial"/>
          <w:color w:val="000000" w:themeColor="text1"/>
          <w:szCs w:val="24"/>
        </w:rPr>
        <w:t>8</w:t>
      </w:r>
      <w:r>
        <w:rPr>
          <w:rFonts w:cs="Arial"/>
          <w:color w:val="000000" w:themeColor="text1"/>
          <w:szCs w:val="24"/>
        </w:rPr>
        <w:t>)</w:t>
      </w:r>
      <w:r w:rsidRPr="004F05CF">
        <w:rPr>
          <w:rFonts w:cs="Arial"/>
          <w:color w:val="000000" w:themeColor="text1"/>
          <w:szCs w:val="24"/>
        </w:rPr>
        <w:t>:</w:t>
      </w:r>
      <w:r w:rsidR="00654870">
        <w:rPr>
          <w:rFonts w:cs="Arial"/>
          <w:color w:val="000000" w:themeColor="text1"/>
          <w:szCs w:val="24"/>
        </w:rPr>
        <w:t xml:space="preserve"> </w:t>
      </w:r>
    </w:p>
    <w:p w14:paraId="5374BD68" w14:textId="77777777" w:rsidR="004F05CF" w:rsidRPr="004F05CF" w:rsidRDefault="004F05CF" w:rsidP="00C7117E">
      <w:pPr>
        <w:pStyle w:val="DeptBullets"/>
        <w:numPr>
          <w:ilvl w:val="0"/>
          <w:numId w:val="0"/>
        </w:numPr>
        <w:spacing w:after="0"/>
        <w:ind w:left="720"/>
        <w:rPr>
          <w:rFonts w:cs="Arial"/>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244"/>
        <w:gridCol w:w="2282"/>
        <w:gridCol w:w="2205"/>
        <w:gridCol w:w="2299"/>
      </w:tblGrid>
      <w:tr w:rsidR="00B6364C" w:rsidRPr="004F05CF" w14:paraId="61B83DDA" w14:textId="77777777" w:rsidTr="00630E86">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32A27" w14:textId="77777777" w:rsidR="00B6364C" w:rsidRPr="005627FA" w:rsidRDefault="00B6364C" w:rsidP="00C7117E">
            <w:pPr>
              <w:rPr>
                <w:rFonts w:cs="Arial"/>
                <w:b/>
                <w:szCs w:val="24"/>
              </w:rPr>
            </w:pPr>
            <w:r w:rsidRPr="005627FA">
              <w:rPr>
                <w:rFonts w:cs="Arial"/>
                <w:b/>
                <w:szCs w:val="24"/>
              </w:rPr>
              <w:t>Outcome</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C4FF2B" w14:textId="77777777" w:rsidR="00B6364C" w:rsidRPr="005627FA" w:rsidRDefault="00B6364C" w:rsidP="00C7117E">
            <w:pPr>
              <w:rPr>
                <w:rFonts w:cs="Arial"/>
                <w:b/>
                <w:szCs w:val="24"/>
              </w:rPr>
            </w:pPr>
            <w:r w:rsidRPr="005627FA">
              <w:rPr>
                <w:rFonts w:cs="Arial"/>
                <w:b/>
                <w:szCs w:val="24"/>
              </w:rPr>
              <w:t>Description</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E0F20" w14:textId="77777777" w:rsidR="00B6364C" w:rsidRPr="005627FA" w:rsidRDefault="00B6364C" w:rsidP="00C7117E">
            <w:pPr>
              <w:rPr>
                <w:rFonts w:cs="Arial"/>
                <w:b/>
                <w:szCs w:val="24"/>
              </w:rPr>
            </w:pPr>
            <w:r w:rsidRPr="005627FA">
              <w:rPr>
                <w:rFonts w:cs="Arial"/>
                <w:b/>
                <w:szCs w:val="24"/>
              </w:rPr>
              <w:t>Target</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73E27" w14:textId="77777777" w:rsidR="00B6364C" w:rsidRPr="005627FA" w:rsidRDefault="00B6364C" w:rsidP="00C7117E">
            <w:pPr>
              <w:rPr>
                <w:rFonts w:cs="Arial"/>
                <w:b/>
                <w:szCs w:val="24"/>
              </w:rPr>
            </w:pPr>
            <w:r w:rsidRPr="005627FA">
              <w:rPr>
                <w:rFonts w:cs="Arial"/>
                <w:b/>
                <w:szCs w:val="24"/>
              </w:rPr>
              <w:t>YTD performance</w:t>
            </w:r>
          </w:p>
        </w:tc>
      </w:tr>
      <w:tr w:rsidR="00B6364C" w:rsidRPr="004F05CF" w14:paraId="2ED6F365" w14:textId="77777777" w:rsidTr="00630E8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9AC4F" w14:textId="77777777" w:rsidR="00B6364C" w:rsidRPr="004F05CF" w:rsidRDefault="00B6364C" w:rsidP="00C7117E">
            <w:pPr>
              <w:rPr>
                <w:rFonts w:cs="Arial"/>
                <w:szCs w:val="24"/>
              </w:rPr>
            </w:pPr>
            <w:r w:rsidRPr="004F05CF">
              <w:rPr>
                <w:rFonts w:cs="Arial"/>
                <w:szCs w:val="24"/>
              </w:rPr>
              <w:t>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DC443EA" w14:textId="77777777" w:rsidR="00B6364C" w:rsidRPr="004F05CF" w:rsidRDefault="00B6364C" w:rsidP="00C7117E">
            <w:pPr>
              <w:rPr>
                <w:rFonts w:cs="Arial"/>
                <w:szCs w:val="24"/>
              </w:rPr>
            </w:pPr>
            <w:r w:rsidRPr="004F05CF">
              <w:rPr>
                <w:rFonts w:cs="Arial"/>
                <w:szCs w:val="24"/>
              </w:rPr>
              <w:t>Members understand the value of their Teachers’ Pension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D6E5387" w14:textId="2EA7AD97" w:rsidR="00B6364C" w:rsidRPr="004F05CF" w:rsidRDefault="00B6364C" w:rsidP="00A75C61">
            <w:pPr>
              <w:rPr>
                <w:rFonts w:cs="Arial"/>
                <w:szCs w:val="24"/>
              </w:rPr>
            </w:pPr>
            <w:r w:rsidRPr="004F05CF">
              <w:rPr>
                <w:rFonts w:cs="Arial"/>
                <w:szCs w:val="24"/>
              </w:rPr>
              <w:t>9</w:t>
            </w:r>
            <w:r w:rsidR="00A75C61">
              <w:rPr>
                <w:rFonts w:cs="Arial"/>
                <w:szCs w:val="24"/>
              </w:rPr>
              <w:t>2</w:t>
            </w:r>
            <w:r w:rsidRPr="004F05CF">
              <w:rPr>
                <w:rFonts w:cs="Arial"/>
                <w:szCs w:val="24"/>
              </w:rPr>
              <w: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C87550F" w14:textId="72BD7082" w:rsidR="00B6364C" w:rsidRPr="004F05CF" w:rsidRDefault="00A75C61" w:rsidP="00A75C61">
            <w:pPr>
              <w:rPr>
                <w:rFonts w:cs="Arial"/>
                <w:szCs w:val="24"/>
              </w:rPr>
            </w:pPr>
            <w:r>
              <w:rPr>
                <w:rFonts w:cs="Arial"/>
                <w:szCs w:val="24"/>
              </w:rPr>
              <w:t>97.30</w:t>
            </w:r>
            <w:r w:rsidR="00B6364C" w:rsidRPr="004F05CF">
              <w:rPr>
                <w:rFonts w:cs="Arial"/>
                <w:szCs w:val="24"/>
              </w:rPr>
              <w:t>%</w:t>
            </w:r>
          </w:p>
        </w:tc>
      </w:tr>
      <w:tr w:rsidR="00B6364C" w:rsidRPr="004F05CF" w14:paraId="7DBBF81E" w14:textId="77777777" w:rsidTr="00630E8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44675" w14:textId="77777777" w:rsidR="00B6364C" w:rsidRPr="004F05CF" w:rsidRDefault="00B6364C" w:rsidP="00C7117E">
            <w:pPr>
              <w:rPr>
                <w:rFonts w:cs="Arial"/>
                <w:szCs w:val="24"/>
              </w:rPr>
            </w:pPr>
            <w:r w:rsidRPr="004F05CF">
              <w:rPr>
                <w:rFonts w:cs="Arial"/>
                <w:szCs w:val="24"/>
              </w:rPr>
              <w:t>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14FA508" w14:textId="77777777" w:rsidR="00B6364C" w:rsidRPr="004F05CF" w:rsidRDefault="00B6364C" w:rsidP="00C7117E">
            <w:pPr>
              <w:rPr>
                <w:rFonts w:cs="Arial"/>
                <w:szCs w:val="24"/>
              </w:rPr>
            </w:pPr>
            <w:r w:rsidRPr="004F05CF">
              <w:rPr>
                <w:rFonts w:cs="Arial"/>
                <w:szCs w:val="24"/>
              </w:rPr>
              <w:t>Members are actively planning for their retirement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77B1C64" w14:textId="77777777" w:rsidR="00B6364C" w:rsidRPr="004F05CF" w:rsidRDefault="00B6364C" w:rsidP="00C7117E">
            <w:pPr>
              <w:rPr>
                <w:rFonts w:cs="Arial"/>
                <w:szCs w:val="24"/>
              </w:rPr>
            </w:pPr>
            <w:r w:rsidRPr="004F05CF">
              <w:rPr>
                <w:rFonts w:cs="Arial"/>
                <w:szCs w:val="24"/>
              </w:rPr>
              <w:t>86%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8FD052A" w14:textId="304E6A60" w:rsidR="00B6364C" w:rsidRPr="004F05CF" w:rsidRDefault="00CD4096" w:rsidP="00A75C61">
            <w:pPr>
              <w:rPr>
                <w:rFonts w:cs="Arial"/>
                <w:szCs w:val="24"/>
              </w:rPr>
            </w:pPr>
            <w:r>
              <w:rPr>
                <w:rFonts w:cs="Arial"/>
                <w:szCs w:val="24"/>
              </w:rPr>
              <w:t>85.</w:t>
            </w:r>
            <w:r w:rsidR="00A75C61">
              <w:rPr>
                <w:rFonts w:cs="Arial"/>
                <w:szCs w:val="24"/>
              </w:rPr>
              <w:t>78</w:t>
            </w:r>
            <w:r w:rsidR="00B6364C" w:rsidRPr="004F05CF">
              <w:rPr>
                <w:rFonts w:cs="Arial"/>
                <w:szCs w:val="24"/>
              </w:rPr>
              <w:t>%</w:t>
            </w:r>
          </w:p>
        </w:tc>
      </w:tr>
    </w:tbl>
    <w:p w14:paraId="2F2A8B43" w14:textId="77777777" w:rsidR="00B6364C" w:rsidRPr="004F05CF" w:rsidRDefault="00B6364C" w:rsidP="00C7117E">
      <w:pPr>
        <w:pStyle w:val="ListBullet"/>
        <w:numPr>
          <w:ilvl w:val="0"/>
          <w:numId w:val="0"/>
        </w:numPr>
        <w:spacing w:before="0" w:after="0" w:line="240" w:lineRule="auto"/>
        <w:rPr>
          <w:rFonts w:ascii="Arial" w:hAnsi="Arial"/>
          <w:color w:val="auto"/>
          <w:sz w:val="24"/>
          <w:szCs w:val="24"/>
          <w:lang w:val="en-GB"/>
        </w:rPr>
      </w:pPr>
    </w:p>
    <w:p w14:paraId="0E0BC294" w14:textId="253C3E0D" w:rsidR="001B52E6" w:rsidRPr="0027528A" w:rsidRDefault="00B33723" w:rsidP="0027528A">
      <w:pPr>
        <w:pStyle w:val="Heading3"/>
        <w:numPr>
          <w:ilvl w:val="0"/>
          <w:numId w:val="8"/>
        </w:numPr>
        <w:rPr>
          <w:rFonts w:cs="Arial"/>
          <w:szCs w:val="24"/>
        </w:rPr>
      </w:pPr>
      <w:r w:rsidRPr="004F05CF">
        <w:rPr>
          <w:rFonts w:cs="Arial"/>
          <w:szCs w:val="24"/>
        </w:rPr>
        <w:t>Y</w:t>
      </w:r>
      <w:r w:rsidR="00185138" w:rsidRPr="004F05CF">
        <w:rPr>
          <w:rFonts w:cs="Arial"/>
          <w:szCs w:val="24"/>
        </w:rPr>
        <w:t>ear to date performance</w:t>
      </w:r>
      <w:r w:rsidR="00654870">
        <w:rPr>
          <w:rFonts w:cs="Arial"/>
          <w:szCs w:val="24"/>
        </w:rPr>
        <w:t xml:space="preserve"> </w:t>
      </w:r>
      <w:r w:rsidR="00185138" w:rsidRPr="004F05CF">
        <w:rPr>
          <w:rFonts w:cs="Arial"/>
          <w:szCs w:val="24"/>
        </w:rPr>
        <w:t>for Outcome</w:t>
      </w:r>
      <w:r w:rsidR="006375F9">
        <w:rPr>
          <w:rFonts w:cs="Arial"/>
          <w:szCs w:val="24"/>
        </w:rPr>
        <w:t>s</w:t>
      </w:r>
      <w:r w:rsidR="00185138" w:rsidRPr="004F05CF">
        <w:rPr>
          <w:rFonts w:cs="Arial"/>
          <w:szCs w:val="24"/>
        </w:rPr>
        <w:t xml:space="preserve"> </w:t>
      </w:r>
      <w:r w:rsidRPr="004F05CF">
        <w:rPr>
          <w:rFonts w:cs="Arial"/>
          <w:szCs w:val="24"/>
        </w:rPr>
        <w:t xml:space="preserve">2 &amp; </w:t>
      </w:r>
      <w:r w:rsidR="00185138" w:rsidRPr="004F05CF">
        <w:rPr>
          <w:rFonts w:cs="Arial"/>
          <w:szCs w:val="24"/>
        </w:rPr>
        <w:t>3</w:t>
      </w:r>
      <w:r w:rsidR="00654870">
        <w:rPr>
          <w:rFonts w:cs="Arial"/>
          <w:szCs w:val="24"/>
        </w:rPr>
        <w:t xml:space="preserve"> for contract year 7</w:t>
      </w:r>
      <w:r w:rsidR="00185138" w:rsidRPr="004F05CF">
        <w:rPr>
          <w:rFonts w:cs="Arial"/>
          <w:szCs w:val="24"/>
        </w:rPr>
        <w:t xml:space="preserve"> is </w:t>
      </w:r>
      <w:r w:rsidR="000B2E9D" w:rsidRPr="004F05CF">
        <w:rPr>
          <w:rFonts w:cs="Arial"/>
          <w:szCs w:val="24"/>
        </w:rPr>
        <w:t>on target</w:t>
      </w:r>
      <w:r w:rsidR="00654870">
        <w:rPr>
          <w:rFonts w:cs="Arial"/>
          <w:szCs w:val="24"/>
        </w:rPr>
        <w:t xml:space="preserve">; </w:t>
      </w:r>
      <w:r w:rsidRPr="004F05CF">
        <w:rPr>
          <w:rFonts w:cs="Arial"/>
          <w:szCs w:val="24"/>
        </w:rPr>
        <w:t xml:space="preserve">positive feedback received from both employers and members </w:t>
      </w:r>
      <w:r w:rsidR="00654870">
        <w:rPr>
          <w:rFonts w:cs="Arial"/>
          <w:szCs w:val="24"/>
        </w:rPr>
        <w:t>demonstrates</w:t>
      </w:r>
      <w:r w:rsidR="000B2E9D" w:rsidRPr="004F05CF">
        <w:rPr>
          <w:rFonts w:cs="Arial"/>
          <w:szCs w:val="24"/>
        </w:rPr>
        <w:t xml:space="preserve"> high levels of</w:t>
      </w:r>
      <w:r w:rsidRPr="004F05CF">
        <w:rPr>
          <w:rFonts w:cs="Arial"/>
          <w:szCs w:val="24"/>
        </w:rPr>
        <w:t xml:space="preserve"> interacti</w:t>
      </w:r>
      <w:r w:rsidR="000B2E9D" w:rsidRPr="004F05CF">
        <w:rPr>
          <w:rFonts w:cs="Arial"/>
          <w:szCs w:val="24"/>
        </w:rPr>
        <w:t>vity and engagement</w:t>
      </w:r>
      <w:r w:rsidRPr="004F05CF">
        <w:rPr>
          <w:rFonts w:cs="Arial"/>
          <w:szCs w:val="24"/>
        </w:rPr>
        <w:t xml:space="preserve"> with TP and the TPS service.</w:t>
      </w:r>
    </w:p>
    <w:p w14:paraId="3A6D4E02" w14:textId="07F0ACFC" w:rsidR="00191F66" w:rsidRPr="00191F66" w:rsidRDefault="00191F66" w:rsidP="00191F66"/>
    <w:p w14:paraId="404AB6CC" w14:textId="21834382" w:rsidR="00C63F40" w:rsidRDefault="00004EA1" w:rsidP="005632CC">
      <w:pPr>
        <w:pStyle w:val="Heading3"/>
        <w:numPr>
          <w:ilvl w:val="0"/>
          <w:numId w:val="8"/>
        </w:numPr>
        <w:rPr>
          <w:rFonts w:cs="Arial"/>
          <w:szCs w:val="24"/>
        </w:rPr>
      </w:pPr>
      <w:r w:rsidRPr="007C05FC">
        <w:rPr>
          <w:rFonts w:cs="Arial"/>
          <w:szCs w:val="24"/>
        </w:rPr>
        <w:t xml:space="preserve">The </w:t>
      </w:r>
      <w:r w:rsidR="005E21EB" w:rsidRPr="007C05FC">
        <w:rPr>
          <w:rFonts w:cs="Arial"/>
          <w:szCs w:val="24"/>
        </w:rPr>
        <w:t>Newly Qualified Teachers (</w:t>
      </w:r>
      <w:r w:rsidRPr="007C05FC">
        <w:rPr>
          <w:rFonts w:cs="Arial"/>
          <w:szCs w:val="24"/>
        </w:rPr>
        <w:t>NQT</w:t>
      </w:r>
      <w:r w:rsidR="005E21EB" w:rsidRPr="007C05FC">
        <w:rPr>
          <w:rFonts w:cs="Arial"/>
          <w:szCs w:val="24"/>
        </w:rPr>
        <w:t>)</w:t>
      </w:r>
      <w:r w:rsidRPr="007C05FC">
        <w:rPr>
          <w:rFonts w:cs="Arial"/>
          <w:szCs w:val="24"/>
        </w:rPr>
        <w:t xml:space="preserve"> project continued throughout </w:t>
      </w:r>
      <w:r w:rsidR="00191F66" w:rsidRPr="007C05FC">
        <w:rPr>
          <w:rFonts w:cs="Arial"/>
          <w:szCs w:val="24"/>
        </w:rPr>
        <w:t>November, December &amp; January</w:t>
      </w:r>
      <w:r w:rsidR="006375F9">
        <w:rPr>
          <w:rFonts w:cs="Arial"/>
          <w:szCs w:val="24"/>
        </w:rPr>
        <w:t xml:space="preserve">, </w:t>
      </w:r>
      <w:r w:rsidRPr="007C05FC">
        <w:rPr>
          <w:rFonts w:cs="Arial"/>
          <w:szCs w:val="24"/>
        </w:rPr>
        <w:t>with auto</w:t>
      </w:r>
      <w:r w:rsidR="00FA5C5F" w:rsidRPr="007C05FC">
        <w:rPr>
          <w:rFonts w:cs="Arial"/>
          <w:szCs w:val="24"/>
        </w:rPr>
        <w:t xml:space="preserve">mated </w:t>
      </w:r>
      <w:r w:rsidRPr="007C05FC">
        <w:rPr>
          <w:rFonts w:cs="Arial"/>
          <w:szCs w:val="24"/>
        </w:rPr>
        <w:t>comm</w:t>
      </w:r>
      <w:r w:rsidR="00FA5C5F" w:rsidRPr="007C05FC">
        <w:rPr>
          <w:rFonts w:cs="Arial"/>
          <w:szCs w:val="24"/>
        </w:rPr>
        <w:t>unication</w:t>
      </w:r>
      <w:r w:rsidRPr="007C05FC">
        <w:rPr>
          <w:rFonts w:cs="Arial"/>
          <w:szCs w:val="24"/>
        </w:rPr>
        <w:t>s to all NQTs who have signed up via ‘PensionPlanIt’.</w:t>
      </w:r>
      <w:r w:rsidR="00EA52F5" w:rsidRPr="007C05FC">
        <w:rPr>
          <w:rFonts w:cs="Arial"/>
          <w:szCs w:val="24"/>
        </w:rPr>
        <w:t xml:space="preserve"> </w:t>
      </w:r>
      <w:r w:rsidR="00FA5C5F" w:rsidRPr="007C05FC">
        <w:rPr>
          <w:rFonts w:cs="Arial"/>
          <w:szCs w:val="24"/>
        </w:rPr>
        <w:t xml:space="preserve"> </w:t>
      </w:r>
    </w:p>
    <w:p w14:paraId="7ABDFA0E" w14:textId="77777777" w:rsidR="007C05FC" w:rsidRPr="007C05FC" w:rsidRDefault="007C05FC" w:rsidP="007C05FC"/>
    <w:p w14:paraId="64DD96C5" w14:textId="64A54B6A" w:rsidR="002F1D88" w:rsidRPr="00FA4FED" w:rsidRDefault="00560C75" w:rsidP="00C7117E">
      <w:pPr>
        <w:pStyle w:val="Heading3"/>
        <w:numPr>
          <w:ilvl w:val="0"/>
          <w:numId w:val="8"/>
        </w:numPr>
        <w:rPr>
          <w:rFonts w:cs="Arial"/>
          <w:szCs w:val="24"/>
        </w:rPr>
      </w:pPr>
      <w:r>
        <w:rPr>
          <w:rFonts w:cs="Arial"/>
          <w:szCs w:val="24"/>
        </w:rPr>
        <w:t>DfE are content that th</w:t>
      </w:r>
      <w:r w:rsidR="00C63F40">
        <w:rPr>
          <w:rFonts w:cs="Arial"/>
          <w:szCs w:val="24"/>
        </w:rPr>
        <w:t>ese</w:t>
      </w:r>
      <w:r>
        <w:rPr>
          <w:rFonts w:cs="Arial"/>
          <w:szCs w:val="24"/>
        </w:rPr>
        <w:t xml:space="preserve"> campaign</w:t>
      </w:r>
      <w:r w:rsidR="00C63F40">
        <w:rPr>
          <w:rFonts w:cs="Arial"/>
          <w:szCs w:val="24"/>
        </w:rPr>
        <w:t>s/projects</w:t>
      </w:r>
      <w:r>
        <w:rPr>
          <w:rFonts w:cs="Arial"/>
          <w:szCs w:val="24"/>
        </w:rPr>
        <w:t xml:space="preserve"> deliver value for money and are generating the right results</w:t>
      </w:r>
      <w:r w:rsidR="00C63F40">
        <w:rPr>
          <w:rFonts w:cs="Arial"/>
          <w:szCs w:val="24"/>
        </w:rPr>
        <w:t xml:space="preserve">, particularly </w:t>
      </w:r>
      <w:r>
        <w:rPr>
          <w:rFonts w:cs="Arial"/>
          <w:szCs w:val="24"/>
        </w:rPr>
        <w:t xml:space="preserve">with the increase in MPO accounts being evident.  </w:t>
      </w:r>
    </w:p>
    <w:p w14:paraId="09C8EED3" w14:textId="2A103047" w:rsidR="002F1D88" w:rsidRDefault="002F1D88" w:rsidP="00C7117E">
      <w:pPr>
        <w:rPr>
          <w:rFonts w:cs="Arial"/>
          <w:szCs w:val="24"/>
        </w:rPr>
      </w:pPr>
    </w:p>
    <w:p w14:paraId="4A18DAE6" w14:textId="77777777" w:rsidR="00772B07" w:rsidRPr="004F05CF" w:rsidRDefault="00772B07" w:rsidP="00C7117E">
      <w:pPr>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D73078" w:rsidRPr="004F05CF" w14:paraId="51C23DF5" w14:textId="77777777" w:rsidTr="0025215E">
        <w:tc>
          <w:tcPr>
            <w:tcW w:w="7230" w:type="dxa"/>
          </w:tcPr>
          <w:p w14:paraId="2172AEDB" w14:textId="60EB248F" w:rsidR="00D73078" w:rsidRDefault="00D54074" w:rsidP="00C7117E">
            <w:pPr>
              <w:rPr>
                <w:rFonts w:cs="Arial"/>
                <w:b/>
                <w:color w:val="000000"/>
                <w:szCs w:val="24"/>
                <w:lang w:eastAsia="en-GB"/>
              </w:rPr>
            </w:pPr>
            <w:r w:rsidRPr="004F05CF">
              <w:rPr>
                <w:rFonts w:cs="Arial"/>
                <w:b/>
                <w:color w:val="000000"/>
                <w:szCs w:val="24"/>
                <w:lang w:eastAsia="en-GB"/>
              </w:rPr>
              <w:t>E</w:t>
            </w:r>
            <w:r w:rsidR="00D73078" w:rsidRPr="004F05CF">
              <w:rPr>
                <w:rFonts w:cs="Arial"/>
                <w:b/>
                <w:color w:val="000000"/>
                <w:szCs w:val="24"/>
                <w:lang w:eastAsia="en-GB"/>
              </w:rPr>
              <w:t xml:space="preserve">mployer engagement and </w:t>
            </w:r>
            <w:r w:rsidR="007333A0" w:rsidRPr="004F05CF">
              <w:rPr>
                <w:rFonts w:cs="Arial"/>
                <w:b/>
                <w:color w:val="000000"/>
                <w:szCs w:val="24"/>
                <w:lang w:eastAsia="en-GB"/>
              </w:rPr>
              <w:t>c</w:t>
            </w:r>
            <w:r w:rsidR="00D73078" w:rsidRPr="004F05CF">
              <w:rPr>
                <w:rFonts w:cs="Arial"/>
                <w:b/>
                <w:color w:val="000000"/>
                <w:szCs w:val="24"/>
                <w:lang w:eastAsia="en-GB"/>
              </w:rPr>
              <w:t>ampaigns</w:t>
            </w:r>
          </w:p>
          <w:p w14:paraId="47AAC081" w14:textId="77777777" w:rsidR="00C0014A" w:rsidRPr="004F05CF" w:rsidRDefault="00C0014A" w:rsidP="00C7117E">
            <w:pPr>
              <w:rPr>
                <w:rFonts w:cs="Arial"/>
                <w:b/>
                <w:szCs w:val="24"/>
              </w:rPr>
            </w:pPr>
          </w:p>
        </w:tc>
        <w:tc>
          <w:tcPr>
            <w:tcW w:w="1134" w:type="dxa"/>
            <w:shd w:val="clear" w:color="auto" w:fill="00B050"/>
          </w:tcPr>
          <w:p w14:paraId="7CA7F07F" w14:textId="77777777" w:rsidR="00D73078" w:rsidRPr="004F05CF" w:rsidRDefault="00E427A4" w:rsidP="00C7117E">
            <w:pPr>
              <w:tabs>
                <w:tab w:val="left" w:pos="883"/>
              </w:tabs>
              <w:rPr>
                <w:rFonts w:cs="Arial"/>
                <w:color w:val="FFC000"/>
                <w:szCs w:val="24"/>
              </w:rPr>
            </w:pPr>
            <w:r w:rsidRPr="004F05CF">
              <w:rPr>
                <w:rFonts w:cs="Arial"/>
                <w:b/>
                <w:noProof/>
                <w:szCs w:val="24"/>
                <w:lang w:eastAsia="en-GB"/>
              </w:rPr>
              <mc:AlternateContent>
                <mc:Choice Requires="wps">
                  <w:drawing>
                    <wp:anchor distT="4294967295" distB="4294967295" distL="114300" distR="114300" simplePos="0" relativeHeight="251655680" behindDoc="0" locked="0" layoutInCell="1" allowOverlap="1" wp14:anchorId="4FA68281" wp14:editId="41E962DC">
                      <wp:simplePos x="0" y="0"/>
                      <wp:positionH relativeFrom="column">
                        <wp:posOffset>59617</wp:posOffset>
                      </wp:positionH>
                      <wp:positionV relativeFrom="paragraph">
                        <wp:posOffset>135611</wp:posOffset>
                      </wp:positionV>
                      <wp:extent cx="495300" cy="0"/>
                      <wp:effectExtent l="0" t="76200" r="1905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27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56E3C" id="AutoShape 2" o:spid="_x0000_s1026" type="#_x0000_t32" style="position:absolute;margin-left:4.7pt;margin-top:10.7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" strokeweight="1pt">
                      <v:stroke endarrow="block"/>
                      <v:shadow color="#7f7f7f [1601]" offset="1pt"/>
                    </v:shape>
                  </w:pict>
                </mc:Fallback>
              </mc:AlternateContent>
            </w:r>
            <w:r w:rsidR="00EF1633" w:rsidRPr="004F05CF">
              <w:rPr>
                <w:rFonts w:cs="Arial"/>
                <w:color w:val="FFC000"/>
                <w:szCs w:val="24"/>
              </w:rPr>
              <w:tab/>
            </w:r>
          </w:p>
        </w:tc>
      </w:tr>
    </w:tbl>
    <w:p w14:paraId="69DAB083" w14:textId="478A5519" w:rsidR="00523049" w:rsidRDefault="00523049" w:rsidP="008B4D71"/>
    <w:p w14:paraId="204C38D2" w14:textId="77777777" w:rsidR="00523049" w:rsidRPr="00A6194E" w:rsidRDefault="00523049" w:rsidP="00D12E7F">
      <w:pPr>
        <w:pStyle w:val="ListParagraph"/>
        <w:numPr>
          <w:ilvl w:val="0"/>
          <w:numId w:val="8"/>
        </w:numPr>
      </w:pPr>
      <w:r w:rsidRPr="00A6194E">
        <w:rPr>
          <w:rFonts w:cstheme="minorHAnsi"/>
        </w:rPr>
        <w:t xml:space="preserve">The MPO registration campaign advised employers of the changes to the improvements to registration to MPO. An additional campaign was to advise employers of the changes to the contribution salary bands from April 2018 (this had previously been scheduled for March). </w:t>
      </w:r>
      <w:r w:rsidRPr="00A6194E">
        <w:rPr>
          <w:rFonts w:cstheme="minorHAnsi"/>
          <w:highlight w:val="yellow"/>
        </w:rPr>
        <w:t xml:space="preserve"> </w:t>
      </w:r>
    </w:p>
    <w:p w14:paraId="07F19E9F" w14:textId="10CC3366" w:rsidR="00523049" w:rsidRPr="00523049" w:rsidRDefault="00523049" w:rsidP="00C7117E">
      <w:pPr>
        <w:pStyle w:val="DeptBullets"/>
        <w:numPr>
          <w:ilvl w:val="0"/>
          <w:numId w:val="0"/>
        </w:numPr>
        <w:spacing w:after="0"/>
        <w:ind w:left="720"/>
        <w:rPr>
          <w:rFonts w:cstheme="minorBidi"/>
        </w:rPr>
      </w:pPr>
    </w:p>
    <w:p w14:paraId="2F9F8EAF" w14:textId="77777777" w:rsidR="00523049" w:rsidRDefault="00AF2D17" w:rsidP="00D12E7F">
      <w:pPr>
        <w:pStyle w:val="ListParagraph"/>
        <w:numPr>
          <w:ilvl w:val="0"/>
          <w:numId w:val="8"/>
        </w:numPr>
        <w:rPr>
          <w:rFonts w:cs="Arial"/>
          <w:szCs w:val="24"/>
        </w:rPr>
      </w:pPr>
      <w:r w:rsidRPr="00523049">
        <w:rPr>
          <w:rFonts w:cs="Arial"/>
          <w:szCs w:val="24"/>
        </w:rPr>
        <w:t>E</w:t>
      </w:r>
      <w:r w:rsidR="002D41FE" w:rsidRPr="00523049">
        <w:rPr>
          <w:rFonts w:cs="Arial"/>
          <w:szCs w:val="24"/>
        </w:rPr>
        <w:t>ngagement contract Outcome 11</w:t>
      </w:r>
      <w:r w:rsidRPr="00523049">
        <w:rPr>
          <w:rFonts w:cs="Arial"/>
          <w:szCs w:val="24"/>
        </w:rPr>
        <w:t xml:space="preserve">:  </w:t>
      </w:r>
      <w:r w:rsidR="00523049" w:rsidRPr="00AF2D17">
        <w:rPr>
          <w:rFonts w:cs="Arial"/>
          <w:szCs w:val="24"/>
        </w:rPr>
        <w:t>Contract year 7:  1 October 2017 to 30 September 2018</w:t>
      </w:r>
    </w:p>
    <w:p w14:paraId="0299A04B" w14:textId="0342AAD0" w:rsidR="00AF2D17" w:rsidRPr="00523049" w:rsidRDefault="00AF2D17" w:rsidP="00C7117E">
      <w:pPr>
        <w:pStyle w:val="DeptBullets"/>
        <w:numPr>
          <w:ilvl w:val="0"/>
          <w:numId w:val="0"/>
        </w:numPr>
        <w:spacing w:after="0"/>
        <w:ind w:left="720"/>
        <w:rPr>
          <w:rFonts w:cs="Arial"/>
          <w:szCs w:val="24"/>
        </w:rPr>
      </w:pPr>
    </w:p>
    <w:p w14:paraId="62ACA6CA" w14:textId="08163E9D" w:rsidR="00877044" w:rsidRDefault="00523049" w:rsidP="00C7117E">
      <w:pPr>
        <w:pStyle w:val="DeptBullets"/>
        <w:numPr>
          <w:ilvl w:val="0"/>
          <w:numId w:val="0"/>
        </w:numPr>
        <w:spacing w:after="0"/>
        <w:ind w:left="720"/>
        <w:rPr>
          <w:rFonts w:cs="Arial"/>
          <w:szCs w:val="24"/>
        </w:rPr>
      </w:pPr>
      <w:r w:rsidRPr="00246E1E">
        <w:rPr>
          <w:rFonts w:eastAsia="Calibri"/>
          <w:noProof/>
          <w:sz w:val="22"/>
          <w:szCs w:val="22"/>
          <w:lang w:eastAsia="en-GB"/>
        </w:rPr>
        <w:drawing>
          <wp:inline distT="0" distB="0" distL="0" distR="0" wp14:anchorId="6EC62B43" wp14:editId="5C9C5986">
            <wp:extent cx="4981546" cy="3529012"/>
            <wp:effectExtent l="0" t="0" r="0" b="0"/>
            <wp:docPr id="4" name="Picture 5" descr="cid:image007.png@01D39E78.F078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39E78.F0785B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011481" cy="3550218"/>
                    </a:xfrm>
                    <a:prstGeom prst="rect">
                      <a:avLst/>
                    </a:prstGeom>
                    <a:noFill/>
                    <a:ln>
                      <a:noFill/>
                    </a:ln>
                  </pic:spPr>
                </pic:pic>
              </a:graphicData>
            </a:graphic>
          </wp:inline>
        </w:drawing>
      </w:r>
    </w:p>
    <w:p w14:paraId="1DBCB221" w14:textId="77777777" w:rsidR="0072455E" w:rsidRDefault="0072455E" w:rsidP="00C7117E">
      <w:pPr>
        <w:pStyle w:val="Heading3"/>
        <w:ind w:left="720"/>
        <w:rPr>
          <w:rFonts w:cs="Arial"/>
          <w:szCs w:val="24"/>
        </w:rPr>
      </w:pPr>
    </w:p>
    <w:p w14:paraId="05529E3D" w14:textId="6845EF21" w:rsidR="00FA5C5F" w:rsidRPr="00877044" w:rsidRDefault="00145B7A" w:rsidP="00D12E7F">
      <w:pPr>
        <w:pStyle w:val="Heading3"/>
        <w:numPr>
          <w:ilvl w:val="0"/>
          <w:numId w:val="8"/>
        </w:numPr>
        <w:rPr>
          <w:rFonts w:cs="Arial"/>
          <w:szCs w:val="24"/>
        </w:rPr>
      </w:pPr>
      <w:r w:rsidRPr="00877044">
        <w:rPr>
          <w:rFonts w:cs="Arial"/>
          <w:szCs w:val="24"/>
        </w:rPr>
        <w:t xml:space="preserve">Viewing of the Employer </w:t>
      </w:r>
      <w:r w:rsidR="006375F9">
        <w:rPr>
          <w:rFonts w:cs="Arial"/>
          <w:szCs w:val="24"/>
        </w:rPr>
        <w:t>t</w:t>
      </w:r>
      <w:r w:rsidRPr="00877044">
        <w:rPr>
          <w:rFonts w:cs="Arial"/>
          <w:szCs w:val="24"/>
        </w:rPr>
        <w:t xml:space="preserve">raining material is </w:t>
      </w:r>
      <w:r w:rsidR="00CC1FD8" w:rsidRPr="00877044">
        <w:rPr>
          <w:rFonts w:cs="Arial"/>
          <w:szCs w:val="24"/>
        </w:rPr>
        <w:t>currently performing b</w:t>
      </w:r>
      <w:r w:rsidRPr="00877044">
        <w:rPr>
          <w:rFonts w:cs="Arial"/>
          <w:szCs w:val="24"/>
        </w:rPr>
        <w:t>elow its year-end target.</w:t>
      </w:r>
      <w:r w:rsidR="00C63F40">
        <w:rPr>
          <w:rFonts w:cs="Arial"/>
          <w:szCs w:val="24"/>
        </w:rPr>
        <w:t xml:space="preserve">  However, i</w:t>
      </w:r>
      <w:r w:rsidR="00B66ADD" w:rsidRPr="00877044">
        <w:rPr>
          <w:rFonts w:cs="Arial"/>
          <w:szCs w:val="24"/>
        </w:rPr>
        <w:t>t is antic</w:t>
      </w:r>
      <w:r w:rsidR="00810542" w:rsidRPr="00877044">
        <w:rPr>
          <w:rFonts w:cs="Arial"/>
          <w:szCs w:val="24"/>
        </w:rPr>
        <w:t>ipated</w:t>
      </w:r>
      <w:r w:rsidR="00B66ADD" w:rsidRPr="00877044">
        <w:rPr>
          <w:rFonts w:cs="Arial"/>
          <w:szCs w:val="24"/>
        </w:rPr>
        <w:t xml:space="preserve"> that this sub-target will be achieved by the end of </w:t>
      </w:r>
      <w:r w:rsidR="00FD1221">
        <w:rPr>
          <w:rFonts w:cs="Arial"/>
          <w:szCs w:val="24"/>
        </w:rPr>
        <w:t>the current contract year</w:t>
      </w:r>
      <w:r w:rsidR="00C63F40">
        <w:rPr>
          <w:rFonts w:cs="Arial"/>
          <w:szCs w:val="24"/>
        </w:rPr>
        <w:t>, with the current underperformance being part of the natural</w:t>
      </w:r>
      <w:r w:rsidR="00FD1221">
        <w:rPr>
          <w:rFonts w:cs="Arial"/>
          <w:szCs w:val="24"/>
        </w:rPr>
        <w:t xml:space="preserve"> peaks &amp; troughs</w:t>
      </w:r>
      <w:r w:rsidR="00C63F40">
        <w:rPr>
          <w:rFonts w:cs="Arial"/>
          <w:szCs w:val="24"/>
        </w:rPr>
        <w:t xml:space="preserve"> that </w:t>
      </w:r>
      <w:r w:rsidR="005E39F2">
        <w:rPr>
          <w:rFonts w:cs="Arial"/>
          <w:szCs w:val="24"/>
        </w:rPr>
        <w:t xml:space="preserve">can </w:t>
      </w:r>
      <w:r w:rsidR="00C63F40">
        <w:rPr>
          <w:rFonts w:cs="Arial"/>
          <w:szCs w:val="24"/>
        </w:rPr>
        <w:t>occur over the course of a scheme year</w:t>
      </w:r>
      <w:r w:rsidR="00FD1221">
        <w:rPr>
          <w:rFonts w:cs="Arial"/>
          <w:szCs w:val="24"/>
        </w:rPr>
        <w:t xml:space="preserve">.  </w:t>
      </w:r>
    </w:p>
    <w:p w14:paraId="4D8D4281" w14:textId="77777777" w:rsidR="00FA5C5F" w:rsidRPr="004F05CF" w:rsidRDefault="00FA5C5F" w:rsidP="00C7117E">
      <w:pPr>
        <w:rPr>
          <w:rFonts w:cs="Arial"/>
          <w:szCs w:val="24"/>
        </w:rPr>
      </w:pPr>
    </w:p>
    <w:p w14:paraId="7826A5E6" w14:textId="68677243" w:rsidR="002E0AD1" w:rsidRPr="0015281A" w:rsidRDefault="00C12D6C" w:rsidP="002E0AD1">
      <w:pPr>
        <w:pStyle w:val="ListParagraph"/>
        <w:numPr>
          <w:ilvl w:val="0"/>
          <w:numId w:val="8"/>
        </w:numPr>
        <w:rPr>
          <w:rFonts w:cs="Arial"/>
          <w:szCs w:val="24"/>
        </w:rPr>
      </w:pPr>
      <w:r w:rsidRPr="008F2BCE">
        <w:rPr>
          <w:rFonts w:cs="Arial"/>
          <w:szCs w:val="24"/>
        </w:rPr>
        <w:t>MDC</w:t>
      </w:r>
      <w:r w:rsidR="002C2BDD" w:rsidRPr="008F2BCE">
        <w:rPr>
          <w:rFonts w:cs="Arial"/>
          <w:szCs w:val="24"/>
        </w:rPr>
        <w:t xml:space="preserve"> </w:t>
      </w:r>
      <w:r w:rsidR="00D55E4A" w:rsidRPr="008F2BCE">
        <w:rPr>
          <w:rFonts w:cs="Arial"/>
          <w:szCs w:val="24"/>
        </w:rPr>
        <w:t>communications continue to be delivered in line with the established engagement plan</w:t>
      </w:r>
      <w:r w:rsidR="00F96392" w:rsidRPr="008F2BCE">
        <w:rPr>
          <w:rFonts w:cs="Arial"/>
          <w:szCs w:val="24"/>
        </w:rPr>
        <w:t>.</w:t>
      </w:r>
      <w:r w:rsidR="002F4069" w:rsidRPr="008F2BCE">
        <w:rPr>
          <w:rFonts w:cs="Arial"/>
          <w:szCs w:val="24"/>
        </w:rPr>
        <w:t xml:space="preserve"> </w:t>
      </w:r>
      <w:r w:rsidR="00EA52F5" w:rsidRPr="008F2BCE">
        <w:rPr>
          <w:rFonts w:cs="Arial"/>
          <w:szCs w:val="24"/>
        </w:rPr>
        <w:t xml:space="preserve"> </w:t>
      </w:r>
      <w:r w:rsidR="002E0AD1" w:rsidRPr="008F2BCE">
        <w:rPr>
          <w:rFonts w:cs="Arial"/>
          <w:szCs w:val="24"/>
        </w:rPr>
        <w:t>As</w:t>
      </w:r>
      <w:r w:rsidR="00BA708E">
        <w:rPr>
          <w:rFonts w:cs="Arial"/>
          <w:szCs w:val="24"/>
        </w:rPr>
        <w:t xml:space="preserve"> we appr</w:t>
      </w:r>
      <w:r w:rsidR="002E0AD1" w:rsidRPr="008F2BCE">
        <w:rPr>
          <w:rFonts w:cs="Arial"/>
          <w:szCs w:val="24"/>
        </w:rPr>
        <w:t xml:space="preserve">oach the deadline of April 2018, </w:t>
      </w:r>
      <w:r w:rsidR="001F7A50">
        <w:rPr>
          <w:rFonts w:cs="Arial"/>
          <w:szCs w:val="24"/>
        </w:rPr>
        <w:t xml:space="preserve">TP is </w:t>
      </w:r>
      <w:r w:rsidR="0023299F">
        <w:rPr>
          <w:rFonts w:cs="Arial"/>
          <w:szCs w:val="24"/>
        </w:rPr>
        <w:t>ramping</w:t>
      </w:r>
      <w:r w:rsidR="001F7A50">
        <w:rPr>
          <w:rFonts w:cs="Arial"/>
          <w:szCs w:val="24"/>
        </w:rPr>
        <w:t xml:space="preserve"> up </w:t>
      </w:r>
      <w:r w:rsidR="00BA708E">
        <w:rPr>
          <w:rFonts w:cs="Arial"/>
          <w:szCs w:val="24"/>
        </w:rPr>
        <w:t xml:space="preserve">use of the </w:t>
      </w:r>
      <w:r w:rsidR="002E0AD1" w:rsidRPr="008F2BCE">
        <w:rPr>
          <w:rFonts w:cs="Arial"/>
          <w:szCs w:val="24"/>
        </w:rPr>
        <w:t xml:space="preserve">escalation process </w:t>
      </w:r>
      <w:r w:rsidR="00BA708E">
        <w:rPr>
          <w:rFonts w:cs="Arial"/>
          <w:szCs w:val="24"/>
        </w:rPr>
        <w:t xml:space="preserve">that is in place </w:t>
      </w:r>
      <w:r w:rsidR="002E0AD1" w:rsidRPr="008F2BCE">
        <w:rPr>
          <w:rFonts w:cs="Arial"/>
          <w:szCs w:val="24"/>
        </w:rPr>
        <w:t xml:space="preserve">to </w:t>
      </w:r>
      <w:r w:rsidR="00BA708E">
        <w:rPr>
          <w:rFonts w:cs="Arial"/>
          <w:szCs w:val="24"/>
        </w:rPr>
        <w:t xml:space="preserve">support </w:t>
      </w:r>
      <w:r w:rsidR="002E0AD1" w:rsidRPr="008F2BCE">
        <w:rPr>
          <w:rFonts w:cs="Arial"/>
          <w:szCs w:val="24"/>
        </w:rPr>
        <w:t>employers yet to join the on boarding phase of MDC</w:t>
      </w:r>
      <w:r w:rsidR="001F7A50">
        <w:rPr>
          <w:rFonts w:cs="Arial"/>
          <w:szCs w:val="24"/>
        </w:rPr>
        <w:t xml:space="preserve">.  A total of </w:t>
      </w:r>
      <w:r w:rsidR="002E0AD1" w:rsidRPr="0015281A">
        <w:rPr>
          <w:rFonts w:cs="Arial"/>
          <w:szCs w:val="24"/>
        </w:rPr>
        <w:t>694 individual letters were issued to establishments on 16 February 2018. The majority of these employers fell within the academies and independent school sectors. Teachers’ Pensions are currently managing responses and ensuring employers on board prior to the April 2018 deadline.</w:t>
      </w:r>
    </w:p>
    <w:p w14:paraId="7DB75F16" w14:textId="77777777" w:rsidR="002E0AD1" w:rsidRPr="0015281A" w:rsidRDefault="002E0AD1" w:rsidP="002E0AD1">
      <w:pPr>
        <w:pStyle w:val="ListParagraph"/>
        <w:rPr>
          <w:rFonts w:cs="Arial"/>
          <w:szCs w:val="24"/>
        </w:rPr>
      </w:pPr>
    </w:p>
    <w:p w14:paraId="379B20F6" w14:textId="5729AE6A" w:rsidR="002E0AD1" w:rsidRPr="002E0AD1" w:rsidRDefault="002E0AD1" w:rsidP="00840DF1">
      <w:pPr>
        <w:pStyle w:val="ListParagraph"/>
        <w:numPr>
          <w:ilvl w:val="0"/>
          <w:numId w:val="8"/>
        </w:numPr>
        <w:rPr>
          <w:rFonts w:cs="Arial"/>
          <w:szCs w:val="24"/>
        </w:rPr>
      </w:pPr>
      <w:r w:rsidRPr="002E0AD1">
        <w:rPr>
          <w:rFonts w:cs="Arial"/>
          <w:szCs w:val="24"/>
        </w:rPr>
        <w:t xml:space="preserve">Early indications suggest that employers </w:t>
      </w:r>
      <w:r w:rsidR="001F7A50">
        <w:rPr>
          <w:rFonts w:cs="Arial"/>
          <w:szCs w:val="24"/>
        </w:rPr>
        <w:t xml:space="preserve">wrongly </w:t>
      </w:r>
      <w:r w:rsidRPr="002E0AD1">
        <w:rPr>
          <w:rFonts w:cs="Arial"/>
          <w:szCs w:val="24"/>
        </w:rPr>
        <w:t xml:space="preserve">assumed that their Payroll </w:t>
      </w:r>
      <w:r w:rsidR="006375F9">
        <w:rPr>
          <w:rFonts w:cs="Arial"/>
          <w:szCs w:val="24"/>
        </w:rPr>
        <w:t>p</w:t>
      </w:r>
      <w:r w:rsidRPr="002E0AD1">
        <w:rPr>
          <w:rFonts w:cs="Arial"/>
          <w:szCs w:val="24"/>
        </w:rPr>
        <w:t>roviders would automatically on board t</w:t>
      </w:r>
      <w:r w:rsidR="001F7A50">
        <w:rPr>
          <w:rFonts w:cs="Arial"/>
          <w:szCs w:val="24"/>
        </w:rPr>
        <w:t>hem t</w:t>
      </w:r>
      <w:r w:rsidRPr="002E0AD1">
        <w:rPr>
          <w:rFonts w:cs="Arial"/>
          <w:szCs w:val="24"/>
        </w:rPr>
        <w:t>o MDC.</w:t>
      </w:r>
      <w:r w:rsidR="001F7A50">
        <w:rPr>
          <w:rFonts w:cs="Arial"/>
          <w:szCs w:val="24"/>
        </w:rPr>
        <w:t xml:space="preserve">  </w:t>
      </w:r>
      <w:r>
        <w:rPr>
          <w:rFonts w:cs="Arial"/>
          <w:szCs w:val="24"/>
        </w:rPr>
        <w:t xml:space="preserve"> </w:t>
      </w:r>
      <w:r w:rsidRPr="002E0AD1">
        <w:rPr>
          <w:rFonts w:cs="Arial"/>
          <w:szCs w:val="24"/>
        </w:rPr>
        <w:t xml:space="preserve">Teachers’ Pensions will repeat the escalation process </w:t>
      </w:r>
      <w:r w:rsidR="001F7A50">
        <w:rPr>
          <w:rFonts w:cs="Arial"/>
          <w:szCs w:val="24"/>
        </w:rPr>
        <w:t>as necessary during</w:t>
      </w:r>
      <w:r w:rsidRPr="002E0AD1">
        <w:rPr>
          <w:rFonts w:cs="Arial"/>
          <w:szCs w:val="24"/>
        </w:rPr>
        <w:t xml:space="preserve"> March 2018.</w:t>
      </w:r>
    </w:p>
    <w:p w14:paraId="59C77F7B" w14:textId="77777777" w:rsidR="002E0AD1" w:rsidRPr="00AC4DE1" w:rsidRDefault="002E0AD1" w:rsidP="002E0AD1"/>
    <w:p w14:paraId="1311229A" w14:textId="68D2D9D3" w:rsidR="009006E6" w:rsidRDefault="001D1783" w:rsidP="002E0AD1">
      <w:pPr>
        <w:pStyle w:val="Heading3"/>
        <w:numPr>
          <w:ilvl w:val="0"/>
          <w:numId w:val="8"/>
        </w:numPr>
        <w:rPr>
          <w:rFonts w:cs="Arial"/>
          <w:szCs w:val="24"/>
        </w:rPr>
      </w:pPr>
      <w:r w:rsidRPr="004F05CF">
        <w:rPr>
          <w:rFonts w:cs="Arial"/>
          <w:szCs w:val="24"/>
        </w:rPr>
        <w:t xml:space="preserve">The revised process for engaging with academies </w:t>
      </w:r>
      <w:r w:rsidR="005E39F2">
        <w:rPr>
          <w:rFonts w:cs="Arial"/>
          <w:szCs w:val="24"/>
        </w:rPr>
        <w:t>is</w:t>
      </w:r>
      <w:r w:rsidRPr="004F05CF">
        <w:rPr>
          <w:rFonts w:cs="Arial"/>
          <w:szCs w:val="24"/>
        </w:rPr>
        <w:t xml:space="preserve"> continuing</w:t>
      </w:r>
      <w:r w:rsidR="005E39F2">
        <w:rPr>
          <w:rFonts w:cs="Arial"/>
          <w:szCs w:val="24"/>
        </w:rPr>
        <w:t>,</w:t>
      </w:r>
      <w:r w:rsidRPr="004F05CF">
        <w:rPr>
          <w:rFonts w:cs="Arial"/>
          <w:szCs w:val="24"/>
        </w:rPr>
        <w:t xml:space="preserve"> with all new establishments being contacted directly by telephone</w:t>
      </w:r>
      <w:r w:rsidR="005E39F2">
        <w:rPr>
          <w:rFonts w:cs="Arial"/>
          <w:szCs w:val="24"/>
        </w:rPr>
        <w:t xml:space="preserve"> in the first instance, and </w:t>
      </w:r>
      <w:r w:rsidRPr="004F05CF">
        <w:rPr>
          <w:rFonts w:cs="Arial"/>
          <w:szCs w:val="24"/>
        </w:rPr>
        <w:t>then follow</w:t>
      </w:r>
      <w:r w:rsidR="005E39F2">
        <w:rPr>
          <w:rFonts w:cs="Arial"/>
          <w:szCs w:val="24"/>
        </w:rPr>
        <w:t xml:space="preserve">ing that </w:t>
      </w:r>
      <w:r w:rsidRPr="004F05CF">
        <w:rPr>
          <w:rFonts w:cs="Arial"/>
          <w:szCs w:val="24"/>
        </w:rPr>
        <w:t xml:space="preserve">up </w:t>
      </w:r>
      <w:r w:rsidR="005E39F2">
        <w:rPr>
          <w:rFonts w:cs="Arial"/>
          <w:szCs w:val="24"/>
        </w:rPr>
        <w:t xml:space="preserve">by </w:t>
      </w:r>
      <w:r w:rsidRPr="004F05CF">
        <w:rPr>
          <w:rFonts w:cs="Arial"/>
          <w:szCs w:val="24"/>
        </w:rPr>
        <w:t xml:space="preserve">email.  </w:t>
      </w:r>
      <w:r w:rsidR="00B37774">
        <w:rPr>
          <w:rFonts w:cs="Arial"/>
          <w:szCs w:val="24"/>
        </w:rPr>
        <w:t xml:space="preserve">The number of open academies at the end of </w:t>
      </w:r>
      <w:r w:rsidR="00EA087D">
        <w:rPr>
          <w:rFonts w:cs="Arial"/>
          <w:szCs w:val="24"/>
        </w:rPr>
        <w:t>January</w:t>
      </w:r>
      <w:r w:rsidR="00B37774">
        <w:rPr>
          <w:rFonts w:cs="Arial"/>
          <w:szCs w:val="24"/>
        </w:rPr>
        <w:t xml:space="preserve"> </w:t>
      </w:r>
      <w:r w:rsidRPr="004F05CF">
        <w:rPr>
          <w:rFonts w:cs="Arial"/>
          <w:szCs w:val="24"/>
        </w:rPr>
        <w:t xml:space="preserve">is </w:t>
      </w:r>
      <w:r w:rsidR="00EA087D">
        <w:rPr>
          <w:rFonts w:cs="Arial"/>
          <w:szCs w:val="24"/>
        </w:rPr>
        <w:t>7,060</w:t>
      </w:r>
      <w:r w:rsidR="009006E6">
        <w:rPr>
          <w:rFonts w:cs="Arial"/>
          <w:szCs w:val="24"/>
        </w:rPr>
        <w:t>.</w:t>
      </w:r>
      <w:r w:rsidR="00F6080C">
        <w:rPr>
          <w:rFonts w:cs="Arial"/>
          <w:szCs w:val="24"/>
        </w:rPr>
        <w:t xml:space="preserve">  All new academies are advised they can only submit service and salary information via MDC</w:t>
      </w:r>
      <w:r w:rsidR="005627FA">
        <w:rPr>
          <w:rFonts w:cs="Arial"/>
          <w:szCs w:val="24"/>
        </w:rPr>
        <w:t>.</w:t>
      </w:r>
    </w:p>
    <w:p w14:paraId="64551ABD" w14:textId="6E8BEA3D" w:rsidR="00F62F89" w:rsidRPr="00B86198" w:rsidRDefault="009006E6" w:rsidP="00B86198">
      <w:pPr>
        <w:pStyle w:val="Heading3"/>
        <w:rPr>
          <w:rFonts w:cs="Arial"/>
          <w:szCs w:val="24"/>
        </w:rPr>
      </w:pPr>
      <w:r w:rsidRPr="004F05CF">
        <w:rPr>
          <w:rFonts w:cs="Arial"/>
          <w:szCs w:val="24"/>
        </w:rPr>
        <w:t xml:space="preserve"> </w:t>
      </w:r>
    </w:p>
    <w:p w14:paraId="480670C7" w14:textId="328B8C59" w:rsidR="00AC7D0B" w:rsidRPr="00437704" w:rsidRDefault="00AC7D0B" w:rsidP="00C7117E">
      <w:pPr>
        <w:rPr>
          <w:rFonts w:cs="Arial"/>
          <w:color w:val="FF0000"/>
          <w:szCs w:val="24"/>
        </w:rPr>
      </w:pPr>
      <w:r w:rsidRPr="00437704">
        <w:rPr>
          <w:rFonts w:cs="Arial"/>
          <w:b/>
          <w:szCs w:val="24"/>
        </w:rPr>
        <w:t xml:space="preserve">MPO report to </w:t>
      </w:r>
      <w:r w:rsidR="000A18C1" w:rsidRPr="00437704">
        <w:rPr>
          <w:rFonts w:cs="Arial"/>
          <w:b/>
          <w:szCs w:val="24"/>
        </w:rPr>
        <w:t>employers</w:t>
      </w:r>
      <w:r w:rsidR="000A18C1" w:rsidRPr="00437704">
        <w:rPr>
          <w:rFonts w:cs="Arial"/>
          <w:szCs w:val="24"/>
        </w:rPr>
        <w:t xml:space="preserve"> </w:t>
      </w:r>
      <w:r w:rsidR="00437704" w:rsidRPr="00437704">
        <w:rPr>
          <w:rFonts w:cs="Arial"/>
          <w:szCs w:val="24"/>
        </w:rPr>
        <w:t xml:space="preserve"> </w:t>
      </w:r>
    </w:p>
    <w:p w14:paraId="3A2168CC" w14:textId="77777777" w:rsidR="00AC7D0B" w:rsidRPr="00437704" w:rsidRDefault="00AC7D0B" w:rsidP="00C7117E">
      <w:pPr>
        <w:rPr>
          <w:rFonts w:cs="Arial"/>
          <w:szCs w:val="24"/>
        </w:rPr>
      </w:pPr>
    </w:p>
    <w:p w14:paraId="4689EC77" w14:textId="09E1C612" w:rsidR="00CC3B21" w:rsidRDefault="001F7A50" w:rsidP="002E0AD1">
      <w:pPr>
        <w:pStyle w:val="ListParagraph"/>
        <w:numPr>
          <w:ilvl w:val="0"/>
          <w:numId w:val="8"/>
        </w:numPr>
      </w:pPr>
      <w:r w:rsidRPr="001F7A50">
        <w:rPr>
          <w:rFonts w:cs="Arial"/>
          <w:kern w:val="28"/>
          <w:szCs w:val="24"/>
        </w:rPr>
        <w:t>As reported above, t</w:t>
      </w:r>
      <w:r w:rsidR="002F1D88" w:rsidRPr="001F7A50">
        <w:rPr>
          <w:rFonts w:cs="Arial"/>
          <w:kern w:val="28"/>
          <w:szCs w:val="24"/>
        </w:rPr>
        <w:t xml:space="preserve">here are now 670k members with an MPO account, </w:t>
      </w:r>
      <w:r w:rsidRPr="001F7A50">
        <w:rPr>
          <w:rFonts w:cs="Arial"/>
          <w:kern w:val="28"/>
          <w:szCs w:val="24"/>
        </w:rPr>
        <w:t xml:space="preserve">with </w:t>
      </w:r>
      <w:r w:rsidR="002F1D88" w:rsidRPr="001F7A50">
        <w:rPr>
          <w:rFonts w:cs="Arial"/>
          <w:kern w:val="28"/>
          <w:szCs w:val="24"/>
        </w:rPr>
        <w:t>the launch of the Employer MPO report ha</w:t>
      </w:r>
      <w:r w:rsidRPr="001F7A50">
        <w:rPr>
          <w:rFonts w:cs="Arial"/>
          <w:kern w:val="28"/>
          <w:szCs w:val="24"/>
        </w:rPr>
        <w:t xml:space="preserve">ving played a significant part in generating further </w:t>
      </w:r>
      <w:r w:rsidR="002F1D88" w:rsidRPr="001F7A50">
        <w:rPr>
          <w:rFonts w:cs="Arial"/>
          <w:kern w:val="28"/>
          <w:szCs w:val="24"/>
        </w:rPr>
        <w:t>registrations.</w:t>
      </w:r>
      <w:r w:rsidRPr="001F7A50">
        <w:rPr>
          <w:rFonts w:cs="Arial"/>
          <w:kern w:val="28"/>
          <w:szCs w:val="24"/>
        </w:rPr>
        <w:t xml:space="preserve">  </w:t>
      </w:r>
      <w:r w:rsidR="00CC3B21" w:rsidRPr="00437704">
        <w:rPr>
          <w:rFonts w:cs="Arial"/>
          <w:szCs w:val="24"/>
        </w:rPr>
        <w:t>In reporting period, the</w:t>
      </w:r>
      <w:r>
        <w:rPr>
          <w:rFonts w:cs="Arial"/>
          <w:szCs w:val="24"/>
        </w:rPr>
        <w:t xml:space="preserve"> report has led to </w:t>
      </w:r>
      <w:r w:rsidR="00C11421">
        <w:rPr>
          <w:rFonts w:cs="Arial"/>
          <w:szCs w:val="24"/>
        </w:rPr>
        <w:t>6,285</w:t>
      </w:r>
      <w:r w:rsidR="00CC3B21" w:rsidRPr="00437704">
        <w:rPr>
          <w:rFonts w:cs="Arial"/>
          <w:szCs w:val="24"/>
        </w:rPr>
        <w:t xml:space="preserve"> member registrations (broken down as </w:t>
      </w:r>
      <w:r w:rsidR="00C11421">
        <w:rPr>
          <w:rFonts w:cs="Arial"/>
          <w:szCs w:val="24"/>
        </w:rPr>
        <w:t>November 2,860</w:t>
      </w:r>
      <w:r w:rsidR="00CC3B21" w:rsidRPr="00437704">
        <w:rPr>
          <w:rFonts w:cs="Arial"/>
          <w:szCs w:val="24"/>
        </w:rPr>
        <w:t xml:space="preserve">; </w:t>
      </w:r>
      <w:r w:rsidR="00C11421">
        <w:rPr>
          <w:rFonts w:cs="Arial"/>
          <w:szCs w:val="24"/>
        </w:rPr>
        <w:t>December 1,212</w:t>
      </w:r>
      <w:r w:rsidR="00CC3B21" w:rsidRPr="00437704">
        <w:rPr>
          <w:rFonts w:cs="Arial"/>
          <w:szCs w:val="24"/>
        </w:rPr>
        <w:t xml:space="preserve"> &amp; </w:t>
      </w:r>
      <w:r w:rsidR="00C11421">
        <w:rPr>
          <w:rFonts w:cs="Arial"/>
          <w:szCs w:val="24"/>
        </w:rPr>
        <w:t>January 2,213</w:t>
      </w:r>
      <w:r w:rsidR="00CC3B21" w:rsidRPr="00437704">
        <w:rPr>
          <w:rFonts w:cs="Arial"/>
          <w:szCs w:val="24"/>
        </w:rPr>
        <w:t>)</w:t>
      </w:r>
      <w:r w:rsidR="00CC3B21" w:rsidRPr="00AC7D0B">
        <w:t>.</w:t>
      </w:r>
    </w:p>
    <w:p w14:paraId="4EE4E517" w14:textId="7DCA687E" w:rsidR="00AC7D0B" w:rsidRDefault="00AC7D0B" w:rsidP="00C7117E"/>
    <w:p w14:paraId="49880444" w14:textId="22878130" w:rsidR="00437704" w:rsidRDefault="00AC7D0B" w:rsidP="002E0AD1">
      <w:pPr>
        <w:pStyle w:val="ListParagraph"/>
        <w:numPr>
          <w:ilvl w:val="0"/>
          <w:numId w:val="8"/>
        </w:numPr>
      </w:pPr>
      <w:r w:rsidRPr="00AC7D0B">
        <w:t xml:space="preserve">The table </w:t>
      </w:r>
      <w:r>
        <w:t>below</w:t>
      </w:r>
      <w:r w:rsidRPr="00AC7D0B">
        <w:t xml:space="preserve"> details member volumes and MPO make-up </w:t>
      </w:r>
      <w:r w:rsidR="00C11421">
        <w:t>based on the establishments from the report going live:</w:t>
      </w:r>
    </w:p>
    <w:p w14:paraId="1DD4DF7D" w14:textId="77777777" w:rsidR="00437704" w:rsidRDefault="00437704" w:rsidP="00C7117E">
      <w:pPr>
        <w:pStyle w:val="ListParagraph"/>
      </w:pPr>
    </w:p>
    <w:p w14:paraId="666ED194" w14:textId="28AEE126" w:rsidR="00437704" w:rsidRDefault="00437704" w:rsidP="00C7117E">
      <w:r w:rsidRPr="0095241B">
        <w:rPr>
          <w:noProof/>
          <w:color w:val="000000"/>
          <w:lang w:eastAsia="en-GB"/>
        </w:rPr>
        <w:drawing>
          <wp:inline distT="0" distB="0" distL="0" distR="0" wp14:anchorId="58002C65" wp14:editId="41A66859">
            <wp:extent cx="6512652" cy="2945218"/>
            <wp:effectExtent l="0" t="0" r="2540" b="7620"/>
            <wp:docPr id="2" name="Picture 7" descr="cid:image009.jpg@01D3A197.B8A9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3A197.B8A968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599369" cy="2984434"/>
                    </a:xfrm>
                    <a:prstGeom prst="rect">
                      <a:avLst/>
                    </a:prstGeom>
                    <a:noFill/>
                    <a:ln>
                      <a:noFill/>
                    </a:ln>
                  </pic:spPr>
                </pic:pic>
              </a:graphicData>
            </a:graphic>
          </wp:inline>
        </w:drawing>
      </w:r>
    </w:p>
    <w:p w14:paraId="262B5FFC" w14:textId="7C00782F" w:rsidR="00614162" w:rsidRDefault="00437704" w:rsidP="00C7117E">
      <w:r>
        <w:t xml:space="preserve"> </w:t>
      </w:r>
    </w:p>
    <w:p w14:paraId="47FDE412" w14:textId="45FEA255" w:rsidR="00614162" w:rsidRDefault="00614162" w:rsidP="002E0AD1">
      <w:pPr>
        <w:pStyle w:val="ListParagraph"/>
        <w:numPr>
          <w:ilvl w:val="0"/>
          <w:numId w:val="8"/>
        </w:numPr>
      </w:pPr>
      <w:r>
        <w:t>DfE are encouraged by the increase in MPO accounts, and are monitoring this through the se</w:t>
      </w:r>
      <w:r w:rsidR="00C11421">
        <w:t>rvice delivery group meetings.</w:t>
      </w:r>
    </w:p>
    <w:p w14:paraId="54A682DA" w14:textId="481C5F5C" w:rsidR="00163F54" w:rsidRDefault="00163F54" w:rsidP="00163F54"/>
    <w:p w14:paraId="03832956" w14:textId="69EF962F" w:rsidR="00163F54" w:rsidRDefault="00163F54" w:rsidP="00163F54"/>
    <w:p w14:paraId="276174E6" w14:textId="77777777" w:rsidR="00163F54" w:rsidRDefault="00163F54" w:rsidP="00163F54"/>
    <w:p w14:paraId="42A4DEBF" w14:textId="019A23E8" w:rsidR="006107B0" w:rsidRDefault="006107B0" w:rsidP="00C7117E"/>
    <w:tbl>
      <w:tblPr>
        <w:tblStyle w:val="TableGrid"/>
        <w:tblW w:w="0" w:type="auto"/>
        <w:tblInd w:w="108" w:type="dxa"/>
        <w:tblLook w:val="04A0" w:firstRow="1" w:lastRow="0" w:firstColumn="1" w:lastColumn="0" w:noHBand="0" w:noVBand="1"/>
      </w:tblPr>
      <w:tblGrid>
        <w:gridCol w:w="7230"/>
        <w:gridCol w:w="1134"/>
      </w:tblGrid>
      <w:tr w:rsidR="00B75C63" w:rsidRPr="004F05CF" w14:paraId="5B865B6A" w14:textId="77777777" w:rsidTr="005E39F2">
        <w:tc>
          <w:tcPr>
            <w:tcW w:w="7230" w:type="dxa"/>
          </w:tcPr>
          <w:p w14:paraId="083E6D54" w14:textId="5EE7E1B1" w:rsidR="00B75C63" w:rsidRDefault="00437704" w:rsidP="00C7117E">
            <w:pPr>
              <w:rPr>
                <w:rFonts w:cs="Arial"/>
                <w:b/>
                <w:color w:val="000000"/>
                <w:szCs w:val="24"/>
                <w:lang w:eastAsia="en-GB"/>
              </w:rPr>
            </w:pPr>
            <w:r>
              <w:rPr>
                <w:rFonts w:cs="Arial"/>
                <w:b/>
                <w:color w:val="000000"/>
                <w:szCs w:val="24"/>
                <w:lang w:eastAsia="en-GB"/>
              </w:rPr>
              <w:t>Website and social media</w:t>
            </w:r>
            <w:r w:rsidR="009024CC">
              <w:rPr>
                <w:rFonts w:cs="Arial"/>
                <w:b/>
                <w:color w:val="000000"/>
                <w:szCs w:val="24"/>
                <w:lang w:eastAsia="en-GB"/>
              </w:rPr>
              <w:t xml:space="preserve"> </w:t>
            </w:r>
          </w:p>
          <w:p w14:paraId="5DF4E7B6" w14:textId="77777777" w:rsidR="00B75C63" w:rsidRPr="004F05CF" w:rsidRDefault="00B75C63" w:rsidP="00C7117E">
            <w:pPr>
              <w:rPr>
                <w:rFonts w:cs="Arial"/>
                <w:b/>
                <w:color w:val="000000"/>
                <w:szCs w:val="24"/>
                <w:lang w:eastAsia="en-GB"/>
              </w:rPr>
            </w:pPr>
          </w:p>
        </w:tc>
        <w:tc>
          <w:tcPr>
            <w:tcW w:w="1134" w:type="dxa"/>
            <w:shd w:val="clear" w:color="auto" w:fill="00B050"/>
          </w:tcPr>
          <w:p w14:paraId="176A13CD" w14:textId="77777777" w:rsidR="00B75C63" w:rsidRPr="004F05CF" w:rsidRDefault="00B75C63" w:rsidP="00C7117E">
            <w:pPr>
              <w:rPr>
                <w:rFonts w:cs="Arial"/>
                <w:color w:val="FFC000"/>
                <w:szCs w:val="24"/>
              </w:rPr>
            </w:pPr>
            <w:r w:rsidRPr="004F05CF">
              <w:rPr>
                <w:rFonts w:cs="Arial"/>
                <w:b/>
                <w:noProof/>
                <w:szCs w:val="24"/>
                <w:lang w:eastAsia="en-GB"/>
              </w:rPr>
              <mc:AlternateContent>
                <mc:Choice Requires="wps">
                  <w:drawing>
                    <wp:anchor distT="4294967295" distB="4294967295" distL="114300" distR="114300" simplePos="0" relativeHeight="251659776" behindDoc="0" locked="0" layoutInCell="1" allowOverlap="1" wp14:anchorId="47931942" wp14:editId="713CDCC7">
                      <wp:simplePos x="0" y="0"/>
                      <wp:positionH relativeFrom="column">
                        <wp:posOffset>59617</wp:posOffset>
                      </wp:positionH>
                      <wp:positionV relativeFrom="paragraph">
                        <wp:posOffset>135611</wp:posOffset>
                      </wp:positionV>
                      <wp:extent cx="495300" cy="0"/>
                      <wp:effectExtent l="0" t="76200" r="1905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27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B61590" id="AutoShape 2" o:spid="_x0000_s1026" type="#_x0000_t32" style="position:absolute;margin-left:4.7pt;margin-top:10.7pt;width:3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" strokeweight="1pt">
                      <v:stroke endarrow="block"/>
                      <v:shadow color="#7f7f7f [1601]" offset="1pt"/>
                    </v:shape>
                  </w:pict>
                </mc:Fallback>
              </mc:AlternateContent>
            </w:r>
          </w:p>
        </w:tc>
      </w:tr>
    </w:tbl>
    <w:p w14:paraId="2CEAD250" w14:textId="77777777" w:rsidR="00B75C63" w:rsidRDefault="00B75C63" w:rsidP="00C7117E"/>
    <w:p w14:paraId="3FD0826E" w14:textId="1FCE9A1D" w:rsidR="00437704" w:rsidRPr="00A6194E" w:rsidRDefault="00437704" w:rsidP="002E0AD1">
      <w:pPr>
        <w:pStyle w:val="Heading3"/>
        <w:numPr>
          <w:ilvl w:val="0"/>
          <w:numId w:val="8"/>
        </w:numPr>
        <w:rPr>
          <w:rFonts w:cs="Arial"/>
          <w:szCs w:val="24"/>
        </w:rPr>
      </w:pPr>
      <w:r w:rsidRPr="00A6194E">
        <w:rPr>
          <w:rFonts w:cs="Arial"/>
          <w:szCs w:val="24"/>
        </w:rPr>
        <w:t xml:space="preserve">Web sessions </w:t>
      </w:r>
      <w:r>
        <w:rPr>
          <w:rFonts w:cs="Arial"/>
          <w:szCs w:val="24"/>
        </w:rPr>
        <w:t xml:space="preserve">1 November </w:t>
      </w:r>
      <w:r w:rsidRPr="00A6194E">
        <w:rPr>
          <w:rFonts w:cs="Arial"/>
          <w:szCs w:val="24"/>
        </w:rPr>
        <w:t>2017</w:t>
      </w:r>
      <w:r>
        <w:rPr>
          <w:rFonts w:cs="Arial"/>
          <w:szCs w:val="24"/>
        </w:rPr>
        <w:t xml:space="preserve"> to 31 January 2018</w:t>
      </w:r>
      <w:r w:rsidRPr="00A6194E">
        <w:rPr>
          <w:rFonts w:cs="Arial"/>
          <w:szCs w:val="24"/>
        </w:rPr>
        <w:t xml:space="preserve">: </w:t>
      </w:r>
    </w:p>
    <w:p w14:paraId="32FCCF65" w14:textId="77777777" w:rsidR="00AF2D17" w:rsidRDefault="00AF2D17" w:rsidP="00C7117E"/>
    <w:p w14:paraId="27AD1921" w14:textId="6C6397AA" w:rsidR="00AF2D17" w:rsidRDefault="00437704" w:rsidP="00C7117E">
      <w:r>
        <w:rPr>
          <w:noProof/>
          <w:lang w:eastAsia="en-GB"/>
        </w:rPr>
        <w:drawing>
          <wp:inline distT="0" distB="0" distL="0" distR="0" wp14:anchorId="43BE4899" wp14:editId="500EA7B4">
            <wp:extent cx="5746750" cy="2782208"/>
            <wp:effectExtent l="0" t="0" r="6350" b="0"/>
            <wp:docPr id="6" name="Picture 6" descr="cid:image002.jpg@01D3A1AA.8C27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A1AA.8C27D7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46750" cy="2782208"/>
                    </a:xfrm>
                    <a:prstGeom prst="rect">
                      <a:avLst/>
                    </a:prstGeom>
                    <a:noFill/>
                    <a:ln>
                      <a:noFill/>
                    </a:ln>
                  </pic:spPr>
                </pic:pic>
              </a:graphicData>
            </a:graphic>
          </wp:inline>
        </w:drawing>
      </w:r>
    </w:p>
    <w:p w14:paraId="36A9CCBF" w14:textId="3698B69A" w:rsidR="00AF2D17" w:rsidRDefault="00AF2D17" w:rsidP="00C7117E"/>
    <w:p w14:paraId="6795743E" w14:textId="23D9EAC6" w:rsidR="00437704" w:rsidRDefault="00437704" w:rsidP="002E0AD1">
      <w:pPr>
        <w:pStyle w:val="ListParagraph"/>
        <w:numPr>
          <w:ilvl w:val="0"/>
          <w:numId w:val="8"/>
        </w:numPr>
      </w:pPr>
      <w:r>
        <w:t xml:space="preserve">Social media has continued to prove positive in terms of Followers, Likes, and impressions.  </w:t>
      </w:r>
      <w:r w:rsidR="009024CC">
        <w:t xml:space="preserve">TP have </w:t>
      </w:r>
      <w:r>
        <w:t>see</w:t>
      </w:r>
      <w:r w:rsidR="009024CC">
        <w:t>n</w:t>
      </w:r>
      <w:r>
        <w:t xml:space="preserve"> enquiries coming through social media in terms of members choosing social media to engage with </w:t>
      </w:r>
      <w:r w:rsidR="009024CC">
        <w:t>them</w:t>
      </w:r>
      <w:r>
        <w:t xml:space="preserve"> rather </w:t>
      </w:r>
      <w:r w:rsidR="009024CC">
        <w:t>than calling the Contact Centre.</w:t>
      </w:r>
    </w:p>
    <w:p w14:paraId="139243E8" w14:textId="77777777" w:rsidR="00437704" w:rsidRDefault="00437704" w:rsidP="00C7117E"/>
    <w:p w14:paraId="2B209959" w14:textId="3FA27A95" w:rsidR="00B6364C" w:rsidRPr="004F05CF" w:rsidRDefault="00E45FD1" w:rsidP="002E0AD1">
      <w:pPr>
        <w:pStyle w:val="Heading3"/>
        <w:numPr>
          <w:ilvl w:val="0"/>
          <w:numId w:val="8"/>
        </w:numPr>
        <w:rPr>
          <w:rFonts w:cs="Arial"/>
          <w:szCs w:val="24"/>
        </w:rPr>
      </w:pPr>
      <w:r w:rsidRPr="004F05CF">
        <w:rPr>
          <w:rFonts w:cs="Arial"/>
          <w:szCs w:val="24"/>
        </w:rPr>
        <w:t xml:space="preserve">The scheme </w:t>
      </w:r>
      <w:r w:rsidR="00BC7A32" w:rsidRPr="004F05CF">
        <w:rPr>
          <w:rFonts w:cs="Arial"/>
          <w:szCs w:val="24"/>
        </w:rPr>
        <w:t>ha</w:t>
      </w:r>
      <w:r w:rsidR="00C14FC0" w:rsidRPr="004F05CF">
        <w:rPr>
          <w:rFonts w:cs="Arial"/>
          <w:szCs w:val="24"/>
        </w:rPr>
        <w:t>s</w:t>
      </w:r>
      <w:r w:rsidR="00F06D32" w:rsidRPr="004F05CF">
        <w:rPr>
          <w:rFonts w:cs="Arial"/>
          <w:szCs w:val="24"/>
        </w:rPr>
        <w:t xml:space="preserve"> </w:t>
      </w:r>
      <w:r w:rsidR="009024CC">
        <w:rPr>
          <w:rFonts w:cs="Arial"/>
          <w:szCs w:val="24"/>
        </w:rPr>
        <w:t>3,930</w:t>
      </w:r>
      <w:r w:rsidR="00AF2376" w:rsidRPr="004F05CF">
        <w:rPr>
          <w:rFonts w:cs="Arial"/>
          <w:color w:val="FF0000"/>
          <w:szCs w:val="24"/>
        </w:rPr>
        <w:t xml:space="preserve"> </w:t>
      </w:r>
      <w:r w:rsidRPr="004F05CF">
        <w:rPr>
          <w:rFonts w:cs="Arial"/>
          <w:szCs w:val="24"/>
        </w:rPr>
        <w:t xml:space="preserve">Twitter followers </w:t>
      </w:r>
      <w:r w:rsidR="001C2F2B" w:rsidRPr="004F05CF">
        <w:rPr>
          <w:rFonts w:cs="Arial"/>
          <w:szCs w:val="24"/>
        </w:rPr>
        <w:t>(</w:t>
      </w:r>
      <w:r w:rsidR="009024CC">
        <w:rPr>
          <w:rFonts w:cs="Arial"/>
          <w:szCs w:val="24"/>
        </w:rPr>
        <w:t>126</w:t>
      </w:r>
      <w:r w:rsidR="00D74E96" w:rsidRPr="004F05CF">
        <w:rPr>
          <w:rFonts w:cs="Arial"/>
          <w:szCs w:val="24"/>
        </w:rPr>
        <w:t xml:space="preserve"> additions</w:t>
      </w:r>
      <w:r w:rsidR="00EA2FDB" w:rsidRPr="004F05CF">
        <w:rPr>
          <w:rFonts w:cs="Arial"/>
          <w:szCs w:val="24"/>
        </w:rPr>
        <w:t xml:space="preserve"> in the </w:t>
      </w:r>
      <w:r w:rsidR="00DF69A3" w:rsidRPr="004F05CF">
        <w:rPr>
          <w:rFonts w:cs="Arial"/>
          <w:szCs w:val="24"/>
        </w:rPr>
        <w:t>reporting period</w:t>
      </w:r>
      <w:r w:rsidR="004C4972" w:rsidRPr="004F05CF">
        <w:rPr>
          <w:rFonts w:cs="Arial"/>
          <w:szCs w:val="24"/>
        </w:rPr>
        <w:t xml:space="preserve">), </w:t>
      </w:r>
      <w:r w:rsidR="009024CC">
        <w:rPr>
          <w:rFonts w:cs="Arial"/>
          <w:szCs w:val="24"/>
        </w:rPr>
        <w:t>6,894</w:t>
      </w:r>
      <w:r w:rsidRPr="004F05CF">
        <w:rPr>
          <w:rFonts w:cs="Arial"/>
          <w:szCs w:val="24"/>
        </w:rPr>
        <w:t xml:space="preserve"> Facebook</w:t>
      </w:r>
      <w:r w:rsidR="001C2F2B" w:rsidRPr="004F05CF">
        <w:rPr>
          <w:rFonts w:cs="Arial"/>
          <w:szCs w:val="24"/>
        </w:rPr>
        <w:t xml:space="preserve"> </w:t>
      </w:r>
      <w:r w:rsidR="00FA0235" w:rsidRPr="004F05CF">
        <w:rPr>
          <w:rFonts w:cs="Arial"/>
          <w:szCs w:val="24"/>
        </w:rPr>
        <w:t xml:space="preserve">‘friends’, </w:t>
      </w:r>
      <w:r w:rsidR="004C4972" w:rsidRPr="004F05CF">
        <w:rPr>
          <w:rFonts w:cs="Arial"/>
          <w:szCs w:val="24"/>
        </w:rPr>
        <w:t xml:space="preserve">and LinkedIn </w:t>
      </w:r>
      <w:r w:rsidR="00C14FC0" w:rsidRPr="004F05CF">
        <w:rPr>
          <w:rFonts w:cs="Arial"/>
          <w:szCs w:val="24"/>
        </w:rPr>
        <w:t>followers have</w:t>
      </w:r>
      <w:r w:rsidR="004C4972" w:rsidRPr="004F05CF">
        <w:rPr>
          <w:rFonts w:cs="Arial"/>
          <w:szCs w:val="24"/>
        </w:rPr>
        <w:t xml:space="preserve"> increase</w:t>
      </w:r>
      <w:r w:rsidR="009024CC">
        <w:rPr>
          <w:rFonts w:cs="Arial"/>
          <w:szCs w:val="24"/>
        </w:rPr>
        <w:t>d</w:t>
      </w:r>
      <w:r w:rsidR="004C4972" w:rsidRPr="004F05CF">
        <w:rPr>
          <w:rFonts w:cs="Arial"/>
          <w:szCs w:val="24"/>
        </w:rPr>
        <w:t xml:space="preserve"> </w:t>
      </w:r>
      <w:r w:rsidR="00C14FC0" w:rsidRPr="004F05CF">
        <w:rPr>
          <w:rFonts w:cs="Arial"/>
          <w:szCs w:val="24"/>
        </w:rPr>
        <w:t xml:space="preserve">to </w:t>
      </w:r>
      <w:r w:rsidR="009024CC">
        <w:rPr>
          <w:rFonts w:cs="Arial"/>
          <w:szCs w:val="24"/>
        </w:rPr>
        <w:t>499</w:t>
      </w:r>
      <w:r w:rsidR="00C14FC0" w:rsidRPr="004F05CF">
        <w:rPr>
          <w:rFonts w:cs="Arial"/>
          <w:szCs w:val="24"/>
        </w:rPr>
        <w:t xml:space="preserve"> with </w:t>
      </w:r>
      <w:r w:rsidR="009024CC">
        <w:rPr>
          <w:rFonts w:cs="Arial"/>
          <w:szCs w:val="24"/>
        </w:rPr>
        <w:t>5,509</w:t>
      </w:r>
      <w:r w:rsidR="00C14FC0" w:rsidRPr="004F05CF">
        <w:rPr>
          <w:rFonts w:cs="Arial"/>
          <w:szCs w:val="24"/>
        </w:rPr>
        <w:t xml:space="preserve"> impressions. </w:t>
      </w:r>
      <w:r w:rsidR="00E267A9" w:rsidRPr="004F05CF">
        <w:rPr>
          <w:rFonts w:cs="Arial"/>
          <w:szCs w:val="24"/>
        </w:rPr>
        <w:t xml:space="preserve">There has been </w:t>
      </w:r>
      <w:r w:rsidR="005238B0" w:rsidRPr="004F05CF">
        <w:rPr>
          <w:rFonts w:cs="Arial"/>
          <w:szCs w:val="24"/>
        </w:rPr>
        <w:t xml:space="preserve">an increase in social media engagement as members contact </w:t>
      </w:r>
      <w:r w:rsidR="009024CC">
        <w:rPr>
          <w:rFonts w:cs="Arial"/>
          <w:szCs w:val="24"/>
        </w:rPr>
        <w:t>TP</w:t>
      </w:r>
      <w:r w:rsidR="005238B0" w:rsidRPr="004F05CF">
        <w:rPr>
          <w:rFonts w:cs="Arial"/>
          <w:szCs w:val="24"/>
        </w:rPr>
        <w:t xml:space="preserve"> through Facebook and Twitter with their queries.</w:t>
      </w:r>
    </w:p>
    <w:p w14:paraId="1CA7BCA2" w14:textId="77777777" w:rsidR="00B6364C" w:rsidRPr="004F05CF" w:rsidRDefault="00B6364C" w:rsidP="00C7117E">
      <w:pPr>
        <w:pStyle w:val="Heading3"/>
        <w:rPr>
          <w:rFonts w:cs="Arial"/>
          <w:szCs w:val="24"/>
        </w:rPr>
      </w:pPr>
    </w:p>
    <w:p w14:paraId="0E98B0E3" w14:textId="49FCB61C" w:rsidR="00B6364C" w:rsidRDefault="00C14FC0" w:rsidP="002E0AD1">
      <w:pPr>
        <w:pStyle w:val="Heading3"/>
        <w:numPr>
          <w:ilvl w:val="0"/>
          <w:numId w:val="8"/>
        </w:numPr>
        <w:rPr>
          <w:rFonts w:cs="Arial"/>
          <w:szCs w:val="24"/>
        </w:rPr>
      </w:pPr>
      <w:r w:rsidRPr="000E4C9E">
        <w:rPr>
          <w:rFonts w:cs="Arial"/>
          <w:szCs w:val="24"/>
        </w:rPr>
        <w:t xml:space="preserve">YouTube has now generated </w:t>
      </w:r>
      <w:r w:rsidR="000E4C9E" w:rsidRPr="000E4C9E">
        <w:rPr>
          <w:rFonts w:cs="Arial"/>
          <w:szCs w:val="24"/>
        </w:rPr>
        <w:t>174,356</w:t>
      </w:r>
      <w:r w:rsidRPr="000E4C9E">
        <w:rPr>
          <w:rFonts w:cs="Arial"/>
          <w:szCs w:val="24"/>
        </w:rPr>
        <w:t xml:space="preserve"> views to date and achieved </w:t>
      </w:r>
      <w:r w:rsidR="000E4C9E" w:rsidRPr="000E4C9E">
        <w:rPr>
          <w:rFonts w:cs="Arial"/>
          <w:szCs w:val="24"/>
        </w:rPr>
        <w:t>145</w:t>
      </w:r>
      <w:r w:rsidRPr="000E4C9E">
        <w:rPr>
          <w:rFonts w:cs="Arial"/>
          <w:szCs w:val="24"/>
        </w:rPr>
        <w:t xml:space="preserve"> subscribers. </w:t>
      </w:r>
    </w:p>
    <w:p w14:paraId="035FD1EF" w14:textId="77777777" w:rsidR="00614162" w:rsidRDefault="00614162" w:rsidP="00C7117E">
      <w:pPr>
        <w:pStyle w:val="Heading3"/>
        <w:rPr>
          <w:rFonts w:cs="Arial"/>
          <w:b/>
          <w:szCs w:val="24"/>
        </w:rPr>
      </w:pPr>
    </w:p>
    <w:tbl>
      <w:tblPr>
        <w:tblStyle w:val="TableGrid"/>
        <w:tblW w:w="0" w:type="auto"/>
        <w:tblInd w:w="108" w:type="dxa"/>
        <w:tblLook w:val="04A0" w:firstRow="1" w:lastRow="0" w:firstColumn="1" w:lastColumn="0" w:noHBand="0" w:noVBand="1"/>
      </w:tblPr>
      <w:tblGrid>
        <w:gridCol w:w="7230"/>
        <w:gridCol w:w="1134"/>
      </w:tblGrid>
      <w:tr w:rsidR="00B6364C" w:rsidRPr="004F05CF" w14:paraId="10ECCE1C" w14:textId="77777777" w:rsidTr="00630E86">
        <w:trPr>
          <w:trHeight w:val="341"/>
        </w:trPr>
        <w:tc>
          <w:tcPr>
            <w:tcW w:w="7230" w:type="dxa"/>
          </w:tcPr>
          <w:p w14:paraId="4B6B1EF7" w14:textId="36EACCFD" w:rsidR="00B6364C" w:rsidRPr="004F05CF" w:rsidRDefault="00B6364C" w:rsidP="000E4C9E">
            <w:pPr>
              <w:rPr>
                <w:rFonts w:cs="Arial"/>
                <w:b/>
                <w:color w:val="000000"/>
                <w:szCs w:val="24"/>
                <w:lang w:eastAsia="en-GB"/>
              </w:rPr>
            </w:pPr>
            <w:r w:rsidRPr="004F05CF">
              <w:rPr>
                <w:rFonts w:cs="Arial"/>
                <w:b/>
                <w:color w:val="000000"/>
                <w:szCs w:val="24"/>
                <w:lang w:eastAsia="en-GB"/>
              </w:rPr>
              <w:t>Forward look</w:t>
            </w:r>
          </w:p>
        </w:tc>
        <w:tc>
          <w:tcPr>
            <w:tcW w:w="1134" w:type="dxa"/>
            <w:shd w:val="clear" w:color="auto" w:fill="00B050"/>
          </w:tcPr>
          <w:p w14:paraId="678FC105" w14:textId="77777777" w:rsidR="00B6364C" w:rsidRPr="004F05CF" w:rsidRDefault="00B6364C" w:rsidP="00C7117E">
            <w:pPr>
              <w:rPr>
                <w:rFonts w:cs="Arial"/>
                <w:color w:val="FFC000"/>
                <w:szCs w:val="24"/>
              </w:rPr>
            </w:pPr>
            <w:r w:rsidRPr="004F05CF">
              <w:rPr>
                <w:rFonts w:cs="Arial"/>
                <w:noProof/>
                <w:color w:val="FFC000"/>
                <w:szCs w:val="24"/>
                <w:lang w:eastAsia="en-GB"/>
              </w:rPr>
              <mc:AlternateContent>
                <mc:Choice Requires="wps">
                  <w:drawing>
                    <wp:anchor distT="0" distB="0" distL="114300" distR="114300" simplePos="0" relativeHeight="251658752" behindDoc="0" locked="0" layoutInCell="1" allowOverlap="1" wp14:anchorId="31D18D4C" wp14:editId="4F267A7E">
                      <wp:simplePos x="0" y="0"/>
                      <wp:positionH relativeFrom="column">
                        <wp:posOffset>100693</wp:posOffset>
                      </wp:positionH>
                      <wp:positionV relativeFrom="paragraph">
                        <wp:posOffset>89989</wp:posOffset>
                      </wp:positionV>
                      <wp:extent cx="434340" cy="7620"/>
                      <wp:effectExtent l="0" t="76200" r="22860" b="876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E123F" id="AutoShape 5" o:spid="_x0000_s1026" type="#_x0000_t32" style="position:absolute;margin-left:7.95pt;margin-top:7.1pt;width:34.2pt;height:.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">
                      <v:stroke endarrow="block"/>
                    </v:shape>
                  </w:pict>
                </mc:Fallback>
              </mc:AlternateContent>
            </w:r>
          </w:p>
        </w:tc>
      </w:tr>
    </w:tbl>
    <w:p w14:paraId="67ABD439" w14:textId="77777777" w:rsidR="00B6364C" w:rsidRPr="004F05CF" w:rsidRDefault="00B6364C" w:rsidP="00C7117E">
      <w:pPr>
        <w:pStyle w:val="DeptBullets"/>
        <w:numPr>
          <w:ilvl w:val="0"/>
          <w:numId w:val="0"/>
        </w:numPr>
        <w:spacing w:after="0"/>
        <w:rPr>
          <w:rFonts w:cs="Arial"/>
          <w:szCs w:val="24"/>
        </w:rPr>
      </w:pPr>
    </w:p>
    <w:p w14:paraId="3DE578BA" w14:textId="68AA3030" w:rsidR="00437704" w:rsidRPr="005E39F2" w:rsidRDefault="0023299F" w:rsidP="00C56967">
      <w:pPr>
        <w:pStyle w:val="Heading3"/>
        <w:numPr>
          <w:ilvl w:val="0"/>
          <w:numId w:val="9"/>
        </w:numPr>
      </w:pPr>
      <w:r>
        <w:t>Streamlined</w:t>
      </w:r>
      <w:r w:rsidR="00437704">
        <w:t xml:space="preserve"> way for members to reset their MPO password/pin.</w:t>
      </w:r>
    </w:p>
    <w:p w14:paraId="27555190" w14:textId="77777777" w:rsidR="00437704" w:rsidRPr="004F05CF" w:rsidRDefault="00437704" w:rsidP="00C56967">
      <w:pPr>
        <w:pStyle w:val="Heading3"/>
        <w:numPr>
          <w:ilvl w:val="0"/>
          <w:numId w:val="9"/>
        </w:numPr>
        <w:rPr>
          <w:rFonts w:cs="Arial"/>
          <w:szCs w:val="24"/>
        </w:rPr>
      </w:pPr>
      <w:r w:rsidRPr="004F05CF">
        <w:rPr>
          <w:rFonts w:cs="Arial"/>
          <w:szCs w:val="24"/>
        </w:rPr>
        <w:t>Issuing Employer Bulletin, Payroll Provider and Member bulletins.</w:t>
      </w:r>
    </w:p>
    <w:p w14:paraId="0F26BA90" w14:textId="77777777" w:rsidR="00437704" w:rsidRPr="00A24E73" w:rsidRDefault="00437704" w:rsidP="00C56967">
      <w:pPr>
        <w:pStyle w:val="Heading3"/>
        <w:numPr>
          <w:ilvl w:val="0"/>
          <w:numId w:val="9"/>
        </w:numPr>
        <w:rPr>
          <w:rFonts w:cs="Arial"/>
          <w:szCs w:val="24"/>
        </w:rPr>
      </w:pPr>
      <w:r w:rsidRPr="004F05CF">
        <w:rPr>
          <w:rFonts w:cs="Arial"/>
          <w:szCs w:val="24"/>
        </w:rPr>
        <w:t>Continuation of the MDC engagement plan.</w:t>
      </w:r>
    </w:p>
    <w:p w14:paraId="4E957B0E" w14:textId="77777777" w:rsidR="00437704" w:rsidRDefault="00437704" w:rsidP="00C56967">
      <w:pPr>
        <w:pStyle w:val="ListParagraph"/>
        <w:numPr>
          <w:ilvl w:val="0"/>
          <w:numId w:val="9"/>
        </w:numPr>
        <w:rPr>
          <w:rFonts w:cs="Arial"/>
          <w:szCs w:val="24"/>
        </w:rPr>
      </w:pPr>
      <w:r>
        <w:rPr>
          <w:rFonts w:cs="Arial"/>
          <w:szCs w:val="24"/>
        </w:rPr>
        <w:t>Employer portal research</w:t>
      </w:r>
    </w:p>
    <w:p w14:paraId="579EB328" w14:textId="77777777" w:rsidR="00437704" w:rsidRDefault="00437704" w:rsidP="00C56967">
      <w:pPr>
        <w:pStyle w:val="ListParagraph"/>
        <w:numPr>
          <w:ilvl w:val="0"/>
          <w:numId w:val="9"/>
        </w:numPr>
        <w:rPr>
          <w:rFonts w:cs="Arial"/>
          <w:szCs w:val="24"/>
        </w:rPr>
      </w:pPr>
      <w:r>
        <w:rPr>
          <w:rFonts w:cs="Arial"/>
          <w:szCs w:val="24"/>
        </w:rPr>
        <w:t>MPO refresh</w:t>
      </w:r>
    </w:p>
    <w:p w14:paraId="7E4BF505" w14:textId="265E50ED" w:rsidR="00437704" w:rsidRDefault="00437704" w:rsidP="00C56967">
      <w:pPr>
        <w:pStyle w:val="ListParagraph"/>
        <w:numPr>
          <w:ilvl w:val="0"/>
          <w:numId w:val="9"/>
        </w:numPr>
        <w:rPr>
          <w:rFonts w:cs="Arial"/>
          <w:szCs w:val="24"/>
        </w:rPr>
      </w:pPr>
      <w:r>
        <w:rPr>
          <w:rFonts w:cs="Arial"/>
          <w:szCs w:val="24"/>
        </w:rPr>
        <w:t xml:space="preserve">Social media advertising </w:t>
      </w:r>
      <w:r w:rsidR="0023299F">
        <w:rPr>
          <w:rFonts w:cs="Arial"/>
          <w:szCs w:val="24"/>
        </w:rPr>
        <w:t>campaigns</w:t>
      </w:r>
      <w:r>
        <w:rPr>
          <w:rFonts w:cs="Arial"/>
          <w:szCs w:val="24"/>
        </w:rPr>
        <w:t xml:space="preserve"> and planned posts</w:t>
      </w:r>
    </w:p>
    <w:p w14:paraId="4303CBCF" w14:textId="77777777" w:rsidR="00437704" w:rsidRDefault="00437704" w:rsidP="00C56967">
      <w:pPr>
        <w:pStyle w:val="ListParagraph"/>
        <w:numPr>
          <w:ilvl w:val="0"/>
          <w:numId w:val="9"/>
        </w:numPr>
        <w:rPr>
          <w:rFonts w:cs="Arial"/>
          <w:szCs w:val="24"/>
        </w:rPr>
      </w:pPr>
      <w:r>
        <w:rPr>
          <w:rFonts w:cs="Arial"/>
          <w:szCs w:val="24"/>
        </w:rPr>
        <w:t>Webchat trial</w:t>
      </w:r>
    </w:p>
    <w:p w14:paraId="03AE9BF2" w14:textId="77777777" w:rsidR="00437704" w:rsidRDefault="00437704" w:rsidP="00C56967">
      <w:pPr>
        <w:pStyle w:val="ListParagraph"/>
        <w:numPr>
          <w:ilvl w:val="0"/>
          <w:numId w:val="9"/>
        </w:numPr>
        <w:rPr>
          <w:rFonts w:cs="Arial"/>
          <w:szCs w:val="24"/>
        </w:rPr>
      </w:pPr>
      <w:r>
        <w:rPr>
          <w:rFonts w:cs="Arial"/>
          <w:szCs w:val="24"/>
        </w:rPr>
        <w:t>Focus group preparation</w:t>
      </w:r>
    </w:p>
    <w:p w14:paraId="5CA13AED" w14:textId="77777777" w:rsidR="00437704" w:rsidRDefault="00437704" w:rsidP="00C56967">
      <w:pPr>
        <w:pStyle w:val="ListParagraph"/>
        <w:numPr>
          <w:ilvl w:val="0"/>
          <w:numId w:val="9"/>
        </w:numPr>
        <w:rPr>
          <w:rFonts w:cs="Arial"/>
          <w:szCs w:val="24"/>
        </w:rPr>
      </w:pPr>
      <w:r>
        <w:rPr>
          <w:rFonts w:cs="Arial"/>
          <w:szCs w:val="24"/>
        </w:rPr>
        <w:t>MDC 2 discussions</w:t>
      </w:r>
    </w:p>
    <w:p w14:paraId="305E6FCA" w14:textId="77777777" w:rsidR="00437704" w:rsidRDefault="00437704" w:rsidP="00C56967">
      <w:pPr>
        <w:pStyle w:val="ListParagraph"/>
        <w:numPr>
          <w:ilvl w:val="0"/>
          <w:numId w:val="9"/>
        </w:numPr>
        <w:rPr>
          <w:rFonts w:cs="Arial"/>
          <w:szCs w:val="24"/>
        </w:rPr>
      </w:pPr>
      <w:r>
        <w:rPr>
          <w:rFonts w:cs="Arial"/>
          <w:szCs w:val="24"/>
        </w:rPr>
        <w:t>MAT’s models discussions</w:t>
      </w:r>
    </w:p>
    <w:p w14:paraId="31F35C1F" w14:textId="77777777" w:rsidR="00437704" w:rsidRDefault="00437704" w:rsidP="00C56967">
      <w:pPr>
        <w:pStyle w:val="ListParagraph"/>
        <w:numPr>
          <w:ilvl w:val="0"/>
          <w:numId w:val="9"/>
        </w:numPr>
        <w:rPr>
          <w:rFonts w:cs="Arial"/>
          <w:szCs w:val="24"/>
        </w:rPr>
      </w:pPr>
      <w:r>
        <w:rPr>
          <w:rFonts w:cs="Arial"/>
          <w:szCs w:val="24"/>
        </w:rPr>
        <w:t>Scheme Valuation comms</w:t>
      </w:r>
    </w:p>
    <w:p w14:paraId="6021CC87" w14:textId="77777777" w:rsidR="00437704" w:rsidRDefault="00437704" w:rsidP="00C56967">
      <w:pPr>
        <w:pStyle w:val="ListParagraph"/>
        <w:numPr>
          <w:ilvl w:val="0"/>
          <w:numId w:val="9"/>
        </w:numPr>
        <w:rPr>
          <w:rFonts w:cs="Arial"/>
          <w:szCs w:val="24"/>
        </w:rPr>
      </w:pPr>
      <w:r>
        <w:rPr>
          <w:rFonts w:cs="Arial"/>
          <w:szCs w:val="24"/>
        </w:rPr>
        <w:t>GDPR comms</w:t>
      </w:r>
    </w:p>
    <w:p w14:paraId="0BB04AE3" w14:textId="77777777" w:rsidR="00437704" w:rsidRDefault="00437704" w:rsidP="00C56967">
      <w:pPr>
        <w:pStyle w:val="ListParagraph"/>
        <w:numPr>
          <w:ilvl w:val="0"/>
          <w:numId w:val="9"/>
        </w:numPr>
        <w:rPr>
          <w:rFonts w:cs="Arial"/>
          <w:szCs w:val="24"/>
        </w:rPr>
      </w:pPr>
      <w:r>
        <w:rPr>
          <w:rFonts w:cs="Arial"/>
          <w:szCs w:val="24"/>
        </w:rPr>
        <w:t>Opting out online only</w:t>
      </w:r>
    </w:p>
    <w:p w14:paraId="053592E7" w14:textId="77777777" w:rsidR="00437704" w:rsidRDefault="00437704" w:rsidP="00C56967">
      <w:pPr>
        <w:pStyle w:val="ListParagraph"/>
        <w:numPr>
          <w:ilvl w:val="0"/>
          <w:numId w:val="9"/>
        </w:numPr>
        <w:rPr>
          <w:rFonts w:cs="Arial"/>
          <w:szCs w:val="24"/>
        </w:rPr>
      </w:pPr>
      <w:r>
        <w:rPr>
          <w:rFonts w:cs="Arial"/>
          <w:szCs w:val="24"/>
        </w:rPr>
        <w:t>Member conversion campaign</w:t>
      </w:r>
    </w:p>
    <w:p w14:paraId="73515060" w14:textId="77777777" w:rsidR="00437704" w:rsidRPr="00F51544" w:rsidRDefault="00437704" w:rsidP="00C56967">
      <w:pPr>
        <w:pStyle w:val="ListParagraph"/>
        <w:numPr>
          <w:ilvl w:val="0"/>
          <w:numId w:val="9"/>
        </w:numPr>
        <w:rPr>
          <w:rFonts w:cs="Arial"/>
          <w:szCs w:val="24"/>
        </w:rPr>
      </w:pPr>
      <w:r>
        <w:rPr>
          <w:rFonts w:cstheme="minorHAnsi"/>
        </w:rPr>
        <w:t>Member</w:t>
      </w:r>
      <w:r w:rsidRPr="00D17599">
        <w:rPr>
          <w:rFonts w:cstheme="minorHAnsi"/>
        </w:rPr>
        <w:t xml:space="preserve"> faster accrual campaign which will go to all members who have previously taken up the flexibility, to remind them of the 31 March deadline for renewal.</w:t>
      </w:r>
    </w:p>
    <w:p w14:paraId="11857661" w14:textId="77777777" w:rsidR="00437704" w:rsidRPr="00F51544" w:rsidRDefault="00437704" w:rsidP="00C56967">
      <w:pPr>
        <w:pStyle w:val="ListParagraph"/>
        <w:numPr>
          <w:ilvl w:val="0"/>
          <w:numId w:val="9"/>
        </w:numPr>
        <w:rPr>
          <w:rFonts w:cs="Arial"/>
          <w:szCs w:val="24"/>
        </w:rPr>
      </w:pPr>
      <w:r>
        <w:rPr>
          <w:rFonts w:cstheme="minorHAnsi"/>
        </w:rPr>
        <w:t xml:space="preserve">Campaign to employers regarding </w:t>
      </w:r>
      <w:r w:rsidRPr="00F51544">
        <w:rPr>
          <w:rFonts w:cstheme="minorHAnsi"/>
        </w:rPr>
        <w:t xml:space="preserve">EOYC process and </w:t>
      </w:r>
      <w:r>
        <w:rPr>
          <w:rFonts w:cstheme="minorHAnsi"/>
        </w:rPr>
        <w:t xml:space="preserve">to </w:t>
      </w:r>
      <w:r w:rsidRPr="00F51544">
        <w:rPr>
          <w:rFonts w:cstheme="minorHAnsi"/>
        </w:rPr>
        <w:t>advise employers of the deadlines and steps they need to take and signpost them to website resources.</w:t>
      </w:r>
    </w:p>
    <w:p w14:paraId="49B506BB" w14:textId="2D3A0543" w:rsidR="00437704" w:rsidRPr="00437704" w:rsidRDefault="00437704" w:rsidP="00C7117E"/>
    <w:p w14:paraId="19339565" w14:textId="4182AEA6" w:rsidR="00FF1E41" w:rsidRPr="00FF1E41" w:rsidRDefault="00FF1E41" w:rsidP="00FF1E41">
      <w:pPr>
        <w:pStyle w:val="ListParagraph"/>
        <w:numPr>
          <w:ilvl w:val="0"/>
          <w:numId w:val="8"/>
        </w:numPr>
        <w:rPr>
          <w:szCs w:val="24"/>
        </w:rPr>
      </w:pPr>
      <w:r>
        <w:t xml:space="preserve">DfE’s view is that TP are progressing well with delivering the communications strategy.  There are some improvements in the contact centre area, with increased telephony capacity and IT improvements to allow members to easily </w:t>
      </w:r>
      <w:r w:rsidR="0023299F">
        <w:t>self-serve</w:t>
      </w:r>
      <w:r>
        <w:t xml:space="preserve"> are planned.  The challenge to the administration is to encourage use of online channels as they are easy to use, en</w:t>
      </w:r>
      <w:r w:rsidR="00432D39">
        <w:t>suring</w:t>
      </w:r>
      <w:r>
        <w:t xml:space="preserve"> members engage better with their pension long</w:t>
      </w:r>
      <w:r w:rsidR="006375F9">
        <w:t>-</w:t>
      </w:r>
      <w:r>
        <w:t>term.  DfE are confident that the right IT changes have been prioritised and</w:t>
      </w:r>
      <w:r w:rsidR="004027AF">
        <w:t xml:space="preserve"> the correct</w:t>
      </w:r>
      <w:r>
        <w:t xml:space="preserve"> monitoring of contact is in place to assess whether the shift to online is working.</w:t>
      </w:r>
      <w:r w:rsidR="004027AF">
        <w:t xml:space="preserve">  </w:t>
      </w:r>
      <w:r>
        <w:t>Digital</w:t>
      </w:r>
      <w:r w:rsidR="004027AF">
        <w:t xml:space="preserve"> Focus is one of the strategic o</w:t>
      </w:r>
      <w:r>
        <w:t>bjective</w:t>
      </w:r>
      <w:r w:rsidR="004027AF">
        <w:t>s</w:t>
      </w:r>
      <w:r>
        <w:t xml:space="preserve"> of the contract and achievement of the shift to digital (whilst making clear allowance for vulnerable customers) is monitored closely through various fora including </w:t>
      </w:r>
      <w:r w:rsidR="0023299F">
        <w:t>the</w:t>
      </w:r>
      <w:r w:rsidR="0023299F" w:rsidRPr="00FF1E41">
        <w:rPr>
          <w:rFonts w:cs="Arial"/>
          <w:szCs w:val="24"/>
        </w:rPr>
        <w:t xml:space="preserve"> Quarterly</w:t>
      </w:r>
      <w:r w:rsidRPr="00FF1E41">
        <w:rPr>
          <w:rFonts w:cs="Arial"/>
          <w:szCs w:val="24"/>
        </w:rPr>
        <w:t xml:space="preserve"> Service Board.</w:t>
      </w:r>
      <w:r w:rsidDel="00866C0D">
        <w:t xml:space="preserve"> </w:t>
      </w:r>
    </w:p>
    <w:p w14:paraId="51A9563F" w14:textId="16EFC0C6" w:rsidR="000E4C9E" w:rsidRPr="000E4C9E" w:rsidRDefault="000E4C9E" w:rsidP="000E4C9E">
      <w:pPr>
        <w:rPr>
          <w:kern w:val="28"/>
        </w:rPr>
      </w:pPr>
    </w:p>
    <w:p w14:paraId="11727A70" w14:textId="660B1173" w:rsidR="00614162" w:rsidRPr="00CD3B4C" w:rsidRDefault="00614162" w:rsidP="002E0AD1">
      <w:pPr>
        <w:pStyle w:val="ListParagraph"/>
        <w:numPr>
          <w:ilvl w:val="0"/>
          <w:numId w:val="8"/>
        </w:numPr>
        <w:rPr>
          <w:kern w:val="28"/>
          <w:szCs w:val="24"/>
        </w:rPr>
      </w:pPr>
      <w:r w:rsidRPr="00CD3B4C">
        <w:rPr>
          <w:szCs w:val="24"/>
        </w:rPr>
        <w:t xml:space="preserve">Ultimately, steps are being taken to address and resolve the issues </w:t>
      </w:r>
      <w:r w:rsidR="005E39F2" w:rsidRPr="00CD3B4C">
        <w:rPr>
          <w:szCs w:val="24"/>
        </w:rPr>
        <w:t xml:space="preserve">involved and to implement a multi-channel </w:t>
      </w:r>
      <w:r w:rsidRPr="00CD3B4C">
        <w:rPr>
          <w:szCs w:val="24"/>
        </w:rPr>
        <w:t>customer contact model</w:t>
      </w:r>
      <w:r w:rsidR="0072455E" w:rsidRPr="00CD3B4C">
        <w:rPr>
          <w:szCs w:val="24"/>
        </w:rPr>
        <w:t>,</w:t>
      </w:r>
      <w:r w:rsidRPr="00CD3B4C">
        <w:rPr>
          <w:szCs w:val="24"/>
        </w:rPr>
        <w:t xml:space="preserve"> </w:t>
      </w:r>
      <w:r w:rsidR="00570E42" w:rsidRPr="00CD3B4C">
        <w:rPr>
          <w:szCs w:val="24"/>
        </w:rPr>
        <w:t xml:space="preserve">which </w:t>
      </w:r>
      <w:r w:rsidR="005E39F2" w:rsidRPr="00CD3B4C">
        <w:rPr>
          <w:szCs w:val="24"/>
        </w:rPr>
        <w:t>w</w:t>
      </w:r>
      <w:r w:rsidRPr="00CD3B4C">
        <w:rPr>
          <w:szCs w:val="24"/>
        </w:rPr>
        <w:t xml:space="preserve">ill </w:t>
      </w:r>
      <w:r w:rsidR="005E39F2" w:rsidRPr="00CD3B4C">
        <w:rPr>
          <w:szCs w:val="24"/>
        </w:rPr>
        <w:t xml:space="preserve">provide </w:t>
      </w:r>
      <w:r w:rsidR="00570E42" w:rsidRPr="00CD3B4C">
        <w:rPr>
          <w:szCs w:val="24"/>
        </w:rPr>
        <w:t>sufficient capacity and flexibility to manage and handle volumes going forward</w:t>
      </w:r>
      <w:r w:rsidRPr="00CD3B4C">
        <w:rPr>
          <w:szCs w:val="24"/>
        </w:rPr>
        <w:t>.</w:t>
      </w:r>
    </w:p>
    <w:p w14:paraId="7B22046C" w14:textId="77777777" w:rsidR="00614162" w:rsidRPr="00CD3B4C" w:rsidRDefault="00614162" w:rsidP="00C7117E">
      <w:pPr>
        <w:rPr>
          <w:szCs w:val="24"/>
        </w:rPr>
      </w:pPr>
    </w:p>
    <w:p w14:paraId="130D19DA" w14:textId="77777777" w:rsidR="0072455E" w:rsidRPr="00CD3B4C" w:rsidRDefault="0072455E" w:rsidP="00C7117E">
      <w:pPr>
        <w:rPr>
          <w:szCs w:val="24"/>
        </w:rPr>
      </w:pPr>
    </w:p>
    <w:p w14:paraId="585696AF" w14:textId="1E6490A0" w:rsidR="00AB2254" w:rsidRPr="00CD3B4C" w:rsidRDefault="009A546B" w:rsidP="00C7117E">
      <w:pPr>
        <w:rPr>
          <w:rFonts w:cs="Arial"/>
          <w:szCs w:val="24"/>
        </w:rPr>
      </w:pPr>
      <w:r w:rsidRPr="00CD3B4C">
        <w:rPr>
          <w:rFonts w:cs="Arial"/>
          <w:szCs w:val="24"/>
        </w:rPr>
        <w:t>A</w:t>
      </w:r>
      <w:r w:rsidR="001E3F44" w:rsidRPr="00CD3B4C">
        <w:rPr>
          <w:rFonts w:cs="Arial"/>
          <w:szCs w:val="24"/>
        </w:rPr>
        <w:t>cronyms used within this report:</w:t>
      </w:r>
    </w:p>
    <w:p w14:paraId="0CDF9C48" w14:textId="77777777" w:rsidR="00DD729A" w:rsidRPr="00CD3B4C" w:rsidRDefault="00DD729A" w:rsidP="00C7117E">
      <w:pPr>
        <w:rPr>
          <w:rFonts w:cs="Arial"/>
          <w:szCs w:val="24"/>
        </w:rPr>
      </w:pPr>
    </w:p>
    <w:tbl>
      <w:tblPr>
        <w:tblStyle w:val="TableGrid"/>
        <w:tblW w:w="0" w:type="auto"/>
        <w:tblInd w:w="720" w:type="dxa"/>
        <w:tblLook w:val="04A0" w:firstRow="1" w:lastRow="0" w:firstColumn="1" w:lastColumn="0" w:noHBand="0" w:noVBand="1"/>
      </w:tblPr>
      <w:tblGrid>
        <w:gridCol w:w="976"/>
        <w:gridCol w:w="2977"/>
        <w:gridCol w:w="1043"/>
        <w:gridCol w:w="2976"/>
      </w:tblGrid>
      <w:tr w:rsidR="009C573E" w:rsidRPr="00CD3B4C" w14:paraId="15A42581" w14:textId="77777777" w:rsidTr="00723B92">
        <w:tc>
          <w:tcPr>
            <w:tcW w:w="976" w:type="dxa"/>
          </w:tcPr>
          <w:p w14:paraId="797B2E6D" w14:textId="43F7F0A2" w:rsidR="009C573E" w:rsidRPr="00CD3B4C" w:rsidRDefault="0072455E" w:rsidP="00C7117E">
            <w:pPr>
              <w:pStyle w:val="Heading3"/>
              <w:rPr>
                <w:rFonts w:cs="Arial"/>
                <w:szCs w:val="24"/>
              </w:rPr>
            </w:pPr>
            <w:r w:rsidRPr="00CD3B4C">
              <w:rPr>
                <w:rFonts w:cs="Arial"/>
                <w:szCs w:val="24"/>
              </w:rPr>
              <w:t>QSB</w:t>
            </w:r>
          </w:p>
        </w:tc>
        <w:tc>
          <w:tcPr>
            <w:tcW w:w="2977" w:type="dxa"/>
          </w:tcPr>
          <w:p w14:paraId="05B0F540" w14:textId="1E8A614C" w:rsidR="009C573E" w:rsidRPr="00CD3B4C" w:rsidRDefault="0072455E" w:rsidP="00C7117E">
            <w:pPr>
              <w:pStyle w:val="Heading3"/>
              <w:rPr>
                <w:rFonts w:cs="Arial"/>
                <w:szCs w:val="24"/>
              </w:rPr>
            </w:pPr>
            <w:r w:rsidRPr="00CD3B4C">
              <w:rPr>
                <w:rFonts w:cs="Arial"/>
                <w:szCs w:val="24"/>
              </w:rPr>
              <w:t>Quarterly Strategy Board</w:t>
            </w:r>
          </w:p>
        </w:tc>
        <w:tc>
          <w:tcPr>
            <w:tcW w:w="905" w:type="dxa"/>
          </w:tcPr>
          <w:p w14:paraId="70BD5038" w14:textId="77777777" w:rsidR="009C573E" w:rsidRPr="00CD3B4C" w:rsidRDefault="009C573E" w:rsidP="00C7117E">
            <w:pPr>
              <w:pStyle w:val="Heading3"/>
              <w:rPr>
                <w:rFonts w:cs="Arial"/>
                <w:szCs w:val="24"/>
              </w:rPr>
            </w:pPr>
            <w:r w:rsidRPr="00CD3B4C">
              <w:rPr>
                <w:rFonts w:cs="Arial"/>
                <w:szCs w:val="24"/>
              </w:rPr>
              <w:t>TPS</w:t>
            </w:r>
          </w:p>
        </w:tc>
        <w:tc>
          <w:tcPr>
            <w:tcW w:w="2976" w:type="dxa"/>
          </w:tcPr>
          <w:p w14:paraId="29BB687C" w14:textId="77777777" w:rsidR="009C573E" w:rsidRPr="00CD3B4C" w:rsidRDefault="009C573E" w:rsidP="00C7117E">
            <w:pPr>
              <w:pStyle w:val="Heading3"/>
              <w:rPr>
                <w:rFonts w:cs="Arial"/>
                <w:szCs w:val="24"/>
              </w:rPr>
            </w:pPr>
            <w:r w:rsidRPr="00CD3B4C">
              <w:rPr>
                <w:rFonts w:cs="Arial"/>
                <w:szCs w:val="24"/>
              </w:rPr>
              <w:t>Teachers’ Pension Scheme</w:t>
            </w:r>
          </w:p>
        </w:tc>
      </w:tr>
      <w:tr w:rsidR="009C573E" w:rsidRPr="00CD3B4C" w14:paraId="534EEDDD" w14:textId="77777777" w:rsidTr="00723B92">
        <w:tc>
          <w:tcPr>
            <w:tcW w:w="976" w:type="dxa"/>
          </w:tcPr>
          <w:p w14:paraId="553F9224" w14:textId="77777777" w:rsidR="009C573E" w:rsidRPr="00CD3B4C" w:rsidRDefault="009C573E" w:rsidP="00C7117E">
            <w:pPr>
              <w:pStyle w:val="Heading3"/>
              <w:rPr>
                <w:rFonts w:cs="Arial"/>
                <w:szCs w:val="24"/>
              </w:rPr>
            </w:pPr>
            <w:r w:rsidRPr="00CD3B4C">
              <w:rPr>
                <w:rFonts w:cs="Arial"/>
                <w:szCs w:val="24"/>
              </w:rPr>
              <w:t>MDC</w:t>
            </w:r>
          </w:p>
        </w:tc>
        <w:tc>
          <w:tcPr>
            <w:tcW w:w="2977" w:type="dxa"/>
          </w:tcPr>
          <w:p w14:paraId="02D64579" w14:textId="77777777" w:rsidR="009C573E" w:rsidRPr="00CD3B4C" w:rsidRDefault="009C573E" w:rsidP="00C7117E">
            <w:pPr>
              <w:pStyle w:val="Heading3"/>
              <w:rPr>
                <w:rFonts w:cs="Arial"/>
                <w:szCs w:val="24"/>
              </w:rPr>
            </w:pPr>
            <w:r w:rsidRPr="00CD3B4C">
              <w:rPr>
                <w:rFonts w:cs="Arial"/>
                <w:szCs w:val="24"/>
              </w:rPr>
              <w:t>Monthly Data Collection</w:t>
            </w:r>
          </w:p>
        </w:tc>
        <w:tc>
          <w:tcPr>
            <w:tcW w:w="905" w:type="dxa"/>
          </w:tcPr>
          <w:p w14:paraId="7133F6FD" w14:textId="768C25B9" w:rsidR="009C573E" w:rsidRPr="00CD3B4C" w:rsidRDefault="0072455E" w:rsidP="00C7117E">
            <w:pPr>
              <w:pStyle w:val="Heading3"/>
              <w:rPr>
                <w:rFonts w:cs="Arial"/>
                <w:szCs w:val="24"/>
              </w:rPr>
            </w:pPr>
            <w:r w:rsidRPr="00CD3B4C">
              <w:rPr>
                <w:rFonts w:cs="Arial"/>
                <w:szCs w:val="24"/>
              </w:rPr>
              <w:t>NQT</w:t>
            </w:r>
          </w:p>
        </w:tc>
        <w:tc>
          <w:tcPr>
            <w:tcW w:w="2976" w:type="dxa"/>
          </w:tcPr>
          <w:p w14:paraId="7197456A" w14:textId="1AF3D069" w:rsidR="009C573E" w:rsidRPr="00CD3B4C" w:rsidRDefault="0072455E" w:rsidP="00C7117E">
            <w:pPr>
              <w:pStyle w:val="Heading3"/>
              <w:rPr>
                <w:rFonts w:cs="Arial"/>
                <w:szCs w:val="24"/>
              </w:rPr>
            </w:pPr>
            <w:r w:rsidRPr="00CD3B4C">
              <w:rPr>
                <w:rFonts w:cs="Arial"/>
                <w:szCs w:val="24"/>
              </w:rPr>
              <w:t>Newly Qualified Teacher</w:t>
            </w:r>
          </w:p>
        </w:tc>
      </w:tr>
      <w:tr w:rsidR="009C573E" w:rsidRPr="00CD3B4C" w14:paraId="4B99B150" w14:textId="77777777" w:rsidTr="00723B92">
        <w:tc>
          <w:tcPr>
            <w:tcW w:w="976" w:type="dxa"/>
          </w:tcPr>
          <w:p w14:paraId="160828F4" w14:textId="77777777" w:rsidR="009C573E" w:rsidRPr="00CD3B4C" w:rsidRDefault="009C573E" w:rsidP="00C7117E">
            <w:pPr>
              <w:pStyle w:val="Heading3"/>
              <w:rPr>
                <w:rFonts w:cs="Arial"/>
                <w:szCs w:val="24"/>
              </w:rPr>
            </w:pPr>
            <w:r w:rsidRPr="00CD3B4C">
              <w:rPr>
                <w:rFonts w:cs="Arial"/>
                <w:szCs w:val="24"/>
              </w:rPr>
              <w:t>MPO</w:t>
            </w:r>
          </w:p>
        </w:tc>
        <w:tc>
          <w:tcPr>
            <w:tcW w:w="2977" w:type="dxa"/>
          </w:tcPr>
          <w:p w14:paraId="5217E12C" w14:textId="77777777" w:rsidR="009C573E" w:rsidRPr="00CD3B4C" w:rsidRDefault="009C573E" w:rsidP="00C7117E">
            <w:pPr>
              <w:pStyle w:val="Heading3"/>
              <w:rPr>
                <w:rFonts w:cs="Arial"/>
                <w:szCs w:val="24"/>
              </w:rPr>
            </w:pPr>
            <w:r w:rsidRPr="00CD3B4C">
              <w:rPr>
                <w:rFonts w:cs="Arial"/>
                <w:szCs w:val="24"/>
              </w:rPr>
              <w:t>My Pension O</w:t>
            </w:r>
            <w:r w:rsidR="00A24E73" w:rsidRPr="00CD3B4C">
              <w:rPr>
                <w:rFonts w:cs="Arial"/>
                <w:szCs w:val="24"/>
              </w:rPr>
              <w:t>n</w:t>
            </w:r>
            <w:r w:rsidRPr="00CD3B4C">
              <w:rPr>
                <w:rFonts w:cs="Arial"/>
                <w:szCs w:val="24"/>
              </w:rPr>
              <w:t>line</w:t>
            </w:r>
          </w:p>
        </w:tc>
        <w:tc>
          <w:tcPr>
            <w:tcW w:w="905" w:type="dxa"/>
          </w:tcPr>
          <w:p w14:paraId="7926283A" w14:textId="77777777" w:rsidR="009C573E" w:rsidRPr="00CD3B4C" w:rsidRDefault="009C573E" w:rsidP="00C7117E">
            <w:pPr>
              <w:pStyle w:val="Heading3"/>
              <w:rPr>
                <w:rFonts w:cs="Arial"/>
                <w:szCs w:val="24"/>
              </w:rPr>
            </w:pPr>
            <w:r w:rsidRPr="00CD3B4C">
              <w:rPr>
                <w:rFonts w:cs="Arial"/>
                <w:szCs w:val="24"/>
              </w:rPr>
              <w:t>TPAF</w:t>
            </w:r>
          </w:p>
        </w:tc>
        <w:tc>
          <w:tcPr>
            <w:tcW w:w="2976" w:type="dxa"/>
          </w:tcPr>
          <w:p w14:paraId="47E231B4" w14:textId="77777777" w:rsidR="009C573E" w:rsidRPr="00CD3B4C" w:rsidRDefault="009C573E" w:rsidP="00C7117E">
            <w:pPr>
              <w:pStyle w:val="Heading3"/>
              <w:rPr>
                <w:rFonts w:cs="Arial"/>
                <w:szCs w:val="24"/>
              </w:rPr>
            </w:pPr>
            <w:r w:rsidRPr="00CD3B4C">
              <w:rPr>
                <w:rFonts w:cs="Arial"/>
                <w:szCs w:val="24"/>
              </w:rPr>
              <w:t>Teachers Pensions Administration Forum</w:t>
            </w:r>
          </w:p>
        </w:tc>
      </w:tr>
      <w:tr w:rsidR="001E3F44" w:rsidRPr="00CD3B4C" w14:paraId="0A6E364C" w14:textId="77777777" w:rsidTr="00723B92">
        <w:tc>
          <w:tcPr>
            <w:tcW w:w="976" w:type="dxa"/>
          </w:tcPr>
          <w:p w14:paraId="62342B9E" w14:textId="77777777" w:rsidR="001E3F44" w:rsidRPr="00CD3B4C" w:rsidRDefault="001E3F44" w:rsidP="00C7117E">
            <w:pPr>
              <w:pStyle w:val="Heading3"/>
              <w:rPr>
                <w:rFonts w:cs="Arial"/>
                <w:szCs w:val="24"/>
              </w:rPr>
            </w:pPr>
            <w:r w:rsidRPr="00CD3B4C">
              <w:rPr>
                <w:rFonts w:cs="Arial"/>
                <w:szCs w:val="24"/>
              </w:rPr>
              <w:t>KPI</w:t>
            </w:r>
          </w:p>
        </w:tc>
        <w:tc>
          <w:tcPr>
            <w:tcW w:w="2977" w:type="dxa"/>
          </w:tcPr>
          <w:p w14:paraId="067A3946" w14:textId="77777777" w:rsidR="001E3F44" w:rsidRPr="00CD3B4C" w:rsidRDefault="001E3F44" w:rsidP="00C7117E">
            <w:pPr>
              <w:pStyle w:val="Heading3"/>
              <w:rPr>
                <w:rFonts w:cs="Arial"/>
                <w:szCs w:val="24"/>
              </w:rPr>
            </w:pPr>
            <w:r w:rsidRPr="00CD3B4C">
              <w:rPr>
                <w:rFonts w:cs="Arial"/>
                <w:szCs w:val="24"/>
              </w:rPr>
              <w:t>Key Performance Indicator(s)</w:t>
            </w:r>
          </w:p>
        </w:tc>
        <w:tc>
          <w:tcPr>
            <w:tcW w:w="905" w:type="dxa"/>
          </w:tcPr>
          <w:p w14:paraId="19F3E2FC" w14:textId="77777777" w:rsidR="001E3F44" w:rsidRPr="00CD3B4C" w:rsidRDefault="001E3F44" w:rsidP="00C7117E">
            <w:pPr>
              <w:pStyle w:val="Heading3"/>
              <w:rPr>
                <w:rFonts w:cs="Arial"/>
                <w:szCs w:val="24"/>
              </w:rPr>
            </w:pPr>
            <w:r w:rsidRPr="00CD3B4C">
              <w:rPr>
                <w:rFonts w:cs="Arial"/>
                <w:szCs w:val="24"/>
              </w:rPr>
              <w:t>TPARG</w:t>
            </w:r>
          </w:p>
        </w:tc>
        <w:tc>
          <w:tcPr>
            <w:tcW w:w="2976" w:type="dxa"/>
          </w:tcPr>
          <w:p w14:paraId="3C57ABFF" w14:textId="77777777" w:rsidR="00BA54D0" w:rsidRPr="00CD3B4C" w:rsidRDefault="001E3F44" w:rsidP="00C7117E">
            <w:pPr>
              <w:pStyle w:val="Heading3"/>
              <w:rPr>
                <w:rFonts w:cs="Arial"/>
                <w:szCs w:val="24"/>
              </w:rPr>
            </w:pPr>
            <w:r w:rsidRPr="00CD3B4C">
              <w:rPr>
                <w:rFonts w:cs="Arial"/>
                <w:szCs w:val="24"/>
              </w:rPr>
              <w:t>Teachers’ Pensions Administration Review Group</w:t>
            </w:r>
          </w:p>
        </w:tc>
      </w:tr>
      <w:tr w:rsidR="00DD729A" w:rsidRPr="00CD3B4C" w14:paraId="6B81496F" w14:textId="77777777" w:rsidTr="00723B92">
        <w:tc>
          <w:tcPr>
            <w:tcW w:w="976" w:type="dxa"/>
          </w:tcPr>
          <w:p w14:paraId="4125C139" w14:textId="32AD5DA8" w:rsidR="00DD729A" w:rsidRPr="00CD3B4C" w:rsidRDefault="005627FA" w:rsidP="00C7117E">
            <w:pPr>
              <w:pStyle w:val="Heading3"/>
              <w:rPr>
                <w:rFonts w:cs="Arial"/>
                <w:szCs w:val="24"/>
              </w:rPr>
            </w:pPr>
            <w:r>
              <w:rPr>
                <w:rFonts w:cs="Arial"/>
                <w:szCs w:val="24"/>
              </w:rPr>
              <w:t>CC</w:t>
            </w:r>
          </w:p>
        </w:tc>
        <w:tc>
          <w:tcPr>
            <w:tcW w:w="2977" w:type="dxa"/>
          </w:tcPr>
          <w:p w14:paraId="607289B6" w14:textId="42D2F3E5" w:rsidR="00DD729A" w:rsidRPr="00CD3B4C" w:rsidRDefault="005627FA" w:rsidP="00C7117E">
            <w:pPr>
              <w:pStyle w:val="Heading3"/>
              <w:rPr>
                <w:rFonts w:cs="Arial"/>
                <w:szCs w:val="24"/>
              </w:rPr>
            </w:pPr>
            <w:r>
              <w:rPr>
                <w:rFonts w:cs="Arial"/>
                <w:szCs w:val="24"/>
              </w:rPr>
              <w:t>Contact Centre</w:t>
            </w:r>
          </w:p>
        </w:tc>
        <w:tc>
          <w:tcPr>
            <w:tcW w:w="905" w:type="dxa"/>
          </w:tcPr>
          <w:p w14:paraId="2519FB70" w14:textId="2B0C2878" w:rsidR="00DD729A" w:rsidRPr="00CD3B4C" w:rsidRDefault="005627FA" w:rsidP="00C7117E">
            <w:pPr>
              <w:pStyle w:val="Heading3"/>
              <w:rPr>
                <w:rFonts w:cs="Arial"/>
                <w:szCs w:val="24"/>
              </w:rPr>
            </w:pPr>
            <w:r>
              <w:rPr>
                <w:rFonts w:cs="Arial"/>
                <w:szCs w:val="24"/>
              </w:rPr>
              <w:t>SDB</w:t>
            </w:r>
          </w:p>
        </w:tc>
        <w:tc>
          <w:tcPr>
            <w:tcW w:w="2976" w:type="dxa"/>
          </w:tcPr>
          <w:p w14:paraId="70CFB5E0" w14:textId="32AD8C15" w:rsidR="00DD729A" w:rsidRPr="00CD3B4C" w:rsidRDefault="005627FA" w:rsidP="005627FA">
            <w:pPr>
              <w:pStyle w:val="Heading3"/>
              <w:rPr>
                <w:rFonts w:cs="Arial"/>
                <w:szCs w:val="24"/>
              </w:rPr>
            </w:pPr>
            <w:r>
              <w:rPr>
                <w:rFonts w:cs="Arial"/>
                <w:szCs w:val="24"/>
              </w:rPr>
              <w:t>Service Delivery Board</w:t>
            </w:r>
          </w:p>
        </w:tc>
      </w:tr>
    </w:tbl>
    <w:p w14:paraId="59EB194A" w14:textId="77777777" w:rsidR="009C573E" w:rsidRPr="00CD3B4C" w:rsidRDefault="009C573E" w:rsidP="00C7117E">
      <w:pPr>
        <w:pStyle w:val="DeptBullets"/>
        <w:numPr>
          <w:ilvl w:val="0"/>
          <w:numId w:val="0"/>
        </w:numPr>
        <w:spacing w:after="0"/>
        <w:ind w:left="720"/>
        <w:rPr>
          <w:rFonts w:cs="Arial"/>
          <w:szCs w:val="24"/>
        </w:rPr>
      </w:pPr>
    </w:p>
    <w:p w14:paraId="2B36105D" w14:textId="77777777" w:rsidR="00491648" w:rsidRPr="00CD3B4C" w:rsidRDefault="00491648" w:rsidP="00C7117E">
      <w:pPr>
        <w:pStyle w:val="DeptBullets"/>
        <w:numPr>
          <w:ilvl w:val="0"/>
          <w:numId w:val="0"/>
        </w:numPr>
        <w:spacing w:after="0"/>
        <w:ind w:left="720"/>
        <w:rPr>
          <w:rFonts w:cs="Arial"/>
          <w:szCs w:val="24"/>
        </w:rPr>
      </w:pPr>
    </w:p>
    <w:p w14:paraId="541E8984" w14:textId="77777777" w:rsidR="00BF0F80" w:rsidRDefault="00BF0F80" w:rsidP="00C7117E">
      <w:pPr>
        <w:widowControl/>
        <w:overflowPunct/>
        <w:autoSpaceDE/>
        <w:autoSpaceDN/>
        <w:adjustRightInd/>
        <w:textAlignment w:val="auto"/>
        <w:rPr>
          <w:rFonts w:cs="Arial"/>
          <w:b/>
          <w:szCs w:val="24"/>
        </w:rPr>
      </w:pPr>
      <w:r w:rsidRPr="00CD3B4C">
        <w:rPr>
          <w:rFonts w:cs="Arial"/>
          <w:b/>
          <w:szCs w:val="24"/>
        </w:rPr>
        <w:br w:type="page"/>
      </w:r>
    </w:p>
    <w:p w14:paraId="328E5C9A" w14:textId="77777777" w:rsidR="00491648" w:rsidRDefault="00491648" w:rsidP="00C7117E">
      <w:pPr>
        <w:pStyle w:val="DeptBullets"/>
        <w:numPr>
          <w:ilvl w:val="0"/>
          <w:numId w:val="0"/>
        </w:numPr>
        <w:spacing w:after="0"/>
        <w:jc w:val="right"/>
        <w:rPr>
          <w:rFonts w:cs="Arial"/>
          <w:b/>
          <w:szCs w:val="24"/>
        </w:rPr>
      </w:pPr>
      <w:r>
        <w:rPr>
          <w:rFonts w:cs="Arial"/>
          <w:b/>
          <w:szCs w:val="24"/>
        </w:rPr>
        <w:t>Annex 1</w:t>
      </w:r>
    </w:p>
    <w:p w14:paraId="3C93E022" w14:textId="3035F25E" w:rsidR="00491648" w:rsidRPr="004F05CF" w:rsidRDefault="00491648" w:rsidP="00C7117E">
      <w:pPr>
        <w:pStyle w:val="DeptBullets"/>
        <w:numPr>
          <w:ilvl w:val="0"/>
          <w:numId w:val="0"/>
        </w:numPr>
        <w:spacing w:after="0"/>
        <w:rPr>
          <w:rFonts w:cs="Arial"/>
          <w:b/>
          <w:szCs w:val="24"/>
        </w:rPr>
      </w:pPr>
    </w:p>
    <w:p w14:paraId="100A39FE" w14:textId="77777777" w:rsidR="00491648" w:rsidRPr="004F05CF" w:rsidRDefault="00491648" w:rsidP="00C7117E">
      <w:pPr>
        <w:pStyle w:val="Heading6"/>
        <w:tabs>
          <w:tab w:val="left" w:pos="9050"/>
        </w:tabs>
        <w:rPr>
          <w:rFonts w:cs="Arial"/>
          <w:b/>
          <w:szCs w:val="24"/>
        </w:rPr>
      </w:pPr>
      <w:r w:rsidRPr="004F05CF">
        <w:rPr>
          <w:rFonts w:cs="Arial"/>
          <w:szCs w:val="24"/>
        </w:rPr>
        <w:t>The purpose of this document is to advise the Information to Members &amp; Communications sub-committee, and the TPS Pension Board (TPSPB) of recent key activity on engagement with scheme members and employers, so as to assist the Board in its assurance role - in particular in the area of communicating information to members.  The report also aims to assist the Board in its strategic role by providing information on specific actions and projects that aim to ensure the administration continues to improve and best serve all stakeholders’ needs.</w:t>
      </w:r>
    </w:p>
    <w:p w14:paraId="735F7D3E" w14:textId="77777777" w:rsidR="00491648" w:rsidRPr="004F05CF" w:rsidRDefault="00491648" w:rsidP="00C7117E">
      <w:pPr>
        <w:pStyle w:val="DeptBullets"/>
        <w:numPr>
          <w:ilvl w:val="0"/>
          <w:numId w:val="0"/>
        </w:numPr>
        <w:tabs>
          <w:tab w:val="left" w:pos="6105"/>
        </w:tabs>
        <w:spacing w:after="0"/>
        <w:rPr>
          <w:rFonts w:cs="Arial"/>
          <w:szCs w:val="24"/>
        </w:rPr>
      </w:pPr>
    </w:p>
    <w:p w14:paraId="3154A7AA" w14:textId="77777777" w:rsidR="00491648" w:rsidRPr="004F05CF" w:rsidRDefault="00491648" w:rsidP="00C7117E">
      <w:pPr>
        <w:pStyle w:val="DeptBullets"/>
        <w:numPr>
          <w:ilvl w:val="0"/>
          <w:numId w:val="0"/>
        </w:numPr>
        <w:tabs>
          <w:tab w:val="left" w:pos="6105"/>
        </w:tabs>
        <w:spacing w:after="0"/>
        <w:rPr>
          <w:rFonts w:cs="Arial"/>
          <w:b/>
          <w:szCs w:val="24"/>
        </w:rPr>
      </w:pPr>
      <w:r w:rsidRPr="004F05CF">
        <w:rPr>
          <w:rFonts w:cs="Arial"/>
          <w:b/>
          <w:szCs w:val="24"/>
        </w:rPr>
        <w:t>Background</w:t>
      </w:r>
    </w:p>
    <w:p w14:paraId="17B0ED37" w14:textId="77777777" w:rsidR="00491648" w:rsidRPr="004F05CF" w:rsidRDefault="00491648" w:rsidP="00C7117E">
      <w:pPr>
        <w:pStyle w:val="Heading4"/>
        <w:rPr>
          <w:rFonts w:cs="Arial"/>
          <w:szCs w:val="24"/>
        </w:rPr>
      </w:pPr>
      <w:r w:rsidRPr="004F05CF">
        <w:rPr>
          <w:rFonts w:cs="Arial"/>
          <w:szCs w:val="24"/>
        </w:rPr>
        <w:t>The overarching objective for scheme engagement within the current contract is to keep members and employers informed of scheme activity that affects them through a planned series of communications - understanding, developing and utilising the most effective channels and techniques.</w:t>
      </w:r>
    </w:p>
    <w:p w14:paraId="79892341" w14:textId="77777777" w:rsidR="00491648" w:rsidRPr="004F05CF" w:rsidRDefault="00491648" w:rsidP="00C7117E">
      <w:pPr>
        <w:pStyle w:val="DeptBullets"/>
        <w:numPr>
          <w:ilvl w:val="0"/>
          <w:numId w:val="0"/>
        </w:numPr>
        <w:tabs>
          <w:tab w:val="left" w:pos="6105"/>
        </w:tabs>
        <w:spacing w:after="0"/>
        <w:rPr>
          <w:rFonts w:cs="Arial"/>
          <w:szCs w:val="24"/>
        </w:rPr>
      </w:pPr>
    </w:p>
    <w:p w14:paraId="1D1A715F" w14:textId="77777777" w:rsidR="00491648" w:rsidRPr="004F05CF" w:rsidRDefault="00491648" w:rsidP="00C7117E">
      <w:pPr>
        <w:pStyle w:val="Heading4"/>
        <w:rPr>
          <w:rFonts w:cs="Arial"/>
          <w:szCs w:val="24"/>
        </w:rPr>
      </w:pPr>
      <w:r w:rsidRPr="004F05CF">
        <w:rPr>
          <w:rFonts w:cs="Arial"/>
          <w:szCs w:val="24"/>
        </w:rPr>
        <w:t>From an employer perspective, this means ensuring that they are aware of and are delivering their obligations as responsible employers through:</w:t>
      </w:r>
    </w:p>
    <w:p w14:paraId="1A7C0DA0" w14:textId="77777777" w:rsidR="00491648" w:rsidRPr="004F05CF" w:rsidRDefault="00491648" w:rsidP="00C7117E">
      <w:pPr>
        <w:rPr>
          <w:rFonts w:cs="Arial"/>
          <w:szCs w:val="24"/>
        </w:rPr>
      </w:pPr>
    </w:p>
    <w:p w14:paraId="24236AE0" w14:textId="77777777" w:rsidR="00491648" w:rsidRPr="004F05CF" w:rsidRDefault="00491648" w:rsidP="00C7117E">
      <w:pPr>
        <w:pStyle w:val="Heading4"/>
        <w:numPr>
          <w:ilvl w:val="0"/>
          <w:numId w:val="6"/>
        </w:numPr>
        <w:rPr>
          <w:rFonts w:cs="Arial"/>
          <w:szCs w:val="24"/>
        </w:rPr>
      </w:pPr>
      <w:r w:rsidRPr="004F05CF">
        <w:rPr>
          <w:rFonts w:cs="Arial"/>
          <w:szCs w:val="24"/>
        </w:rPr>
        <w:t>Improving employers’ understanding of their responsibilities and providing appropriate support for them to deliver these effectively</w:t>
      </w:r>
    </w:p>
    <w:p w14:paraId="7DC7CC3E" w14:textId="77777777" w:rsidR="00491648" w:rsidRPr="004F05CF" w:rsidRDefault="00491648" w:rsidP="00C7117E">
      <w:pPr>
        <w:pStyle w:val="Heading4"/>
        <w:numPr>
          <w:ilvl w:val="0"/>
          <w:numId w:val="6"/>
        </w:numPr>
        <w:rPr>
          <w:rFonts w:cs="Arial"/>
          <w:szCs w:val="24"/>
        </w:rPr>
      </w:pPr>
      <w:r w:rsidRPr="004F05CF">
        <w:rPr>
          <w:rFonts w:cs="Arial"/>
          <w:szCs w:val="24"/>
        </w:rPr>
        <w:t>Improving the recognition and appreciation by employers of the value of the scheme to its employees</w:t>
      </w:r>
    </w:p>
    <w:p w14:paraId="74F3618E" w14:textId="77777777" w:rsidR="00491648" w:rsidRPr="004F05CF" w:rsidRDefault="00491648" w:rsidP="00C7117E">
      <w:pPr>
        <w:pStyle w:val="Heading4"/>
        <w:numPr>
          <w:ilvl w:val="0"/>
          <w:numId w:val="6"/>
        </w:numPr>
        <w:rPr>
          <w:rFonts w:cs="Arial"/>
          <w:szCs w:val="24"/>
        </w:rPr>
      </w:pPr>
      <w:r w:rsidRPr="004F05CF">
        <w:rPr>
          <w:rFonts w:cs="Arial"/>
          <w:szCs w:val="24"/>
        </w:rPr>
        <w:t>Improving the engagement and support that employers provide to members on pension retirement planning</w:t>
      </w:r>
    </w:p>
    <w:p w14:paraId="37F26851" w14:textId="77777777" w:rsidR="00491648" w:rsidRPr="004F05CF" w:rsidRDefault="00491648" w:rsidP="00C7117E">
      <w:pPr>
        <w:pStyle w:val="Heading4"/>
        <w:rPr>
          <w:rFonts w:cs="Arial"/>
          <w:szCs w:val="24"/>
        </w:rPr>
      </w:pPr>
    </w:p>
    <w:p w14:paraId="6998BC45" w14:textId="77777777" w:rsidR="00491648" w:rsidRPr="004F05CF" w:rsidRDefault="00491648" w:rsidP="00C7117E">
      <w:pPr>
        <w:pStyle w:val="Heading4"/>
        <w:rPr>
          <w:rFonts w:cs="Arial"/>
          <w:szCs w:val="24"/>
        </w:rPr>
      </w:pPr>
      <w:r w:rsidRPr="004F05CF">
        <w:rPr>
          <w:rFonts w:cs="Arial"/>
          <w:szCs w:val="24"/>
        </w:rPr>
        <w:t>To provide scheme members with a more dynamic, effective and accessible insight into their pension and its benefits, we aim to:</w:t>
      </w:r>
    </w:p>
    <w:p w14:paraId="237BA2E5" w14:textId="77777777" w:rsidR="00491648" w:rsidRPr="004F05CF" w:rsidRDefault="00491648" w:rsidP="00C7117E">
      <w:pPr>
        <w:rPr>
          <w:rFonts w:cs="Arial"/>
          <w:szCs w:val="24"/>
        </w:rPr>
      </w:pPr>
    </w:p>
    <w:p w14:paraId="59250062" w14:textId="77777777" w:rsidR="00491648" w:rsidRPr="004F05CF" w:rsidRDefault="00491648" w:rsidP="00C7117E">
      <w:pPr>
        <w:pStyle w:val="Heading4"/>
        <w:numPr>
          <w:ilvl w:val="0"/>
          <w:numId w:val="7"/>
        </w:numPr>
        <w:rPr>
          <w:rFonts w:cs="Arial"/>
          <w:szCs w:val="24"/>
        </w:rPr>
      </w:pPr>
      <w:r w:rsidRPr="004F05CF">
        <w:rPr>
          <w:rFonts w:cs="Arial"/>
          <w:szCs w:val="24"/>
        </w:rPr>
        <w:t>Increase members’ awareness of pensions in general to promote more effective pension planning</w:t>
      </w:r>
    </w:p>
    <w:p w14:paraId="7B8C9D98" w14:textId="77777777" w:rsidR="00491648" w:rsidRPr="004F05CF" w:rsidRDefault="00491648" w:rsidP="00C7117E">
      <w:pPr>
        <w:pStyle w:val="Heading4"/>
        <w:numPr>
          <w:ilvl w:val="0"/>
          <w:numId w:val="7"/>
        </w:numPr>
        <w:rPr>
          <w:rFonts w:cs="Arial"/>
          <w:szCs w:val="24"/>
        </w:rPr>
      </w:pPr>
      <w:r w:rsidRPr="004F05CF">
        <w:rPr>
          <w:rFonts w:cs="Arial"/>
          <w:szCs w:val="24"/>
        </w:rPr>
        <w:t>Ensure that the service proactively engages with members</w:t>
      </w:r>
    </w:p>
    <w:p w14:paraId="5C86C2EF" w14:textId="77777777" w:rsidR="00491648" w:rsidRPr="004F05CF" w:rsidRDefault="00491648" w:rsidP="00C7117E">
      <w:pPr>
        <w:pStyle w:val="Heading4"/>
        <w:numPr>
          <w:ilvl w:val="0"/>
          <w:numId w:val="7"/>
        </w:numPr>
        <w:rPr>
          <w:rFonts w:cs="Arial"/>
          <w:szCs w:val="24"/>
        </w:rPr>
      </w:pPr>
      <w:r w:rsidRPr="004F05CF">
        <w:rPr>
          <w:rFonts w:cs="Arial"/>
          <w:szCs w:val="24"/>
        </w:rPr>
        <w:t>Ensure members have ready access to information which allows them to understand and make best use of scheme provisions</w:t>
      </w:r>
    </w:p>
    <w:p w14:paraId="38F12843" w14:textId="77777777" w:rsidR="00491648" w:rsidRPr="004F05CF" w:rsidRDefault="00491648" w:rsidP="00C7117E">
      <w:pPr>
        <w:pStyle w:val="Heading4"/>
        <w:numPr>
          <w:ilvl w:val="0"/>
          <w:numId w:val="7"/>
        </w:numPr>
        <w:rPr>
          <w:rFonts w:cs="Arial"/>
          <w:szCs w:val="24"/>
        </w:rPr>
      </w:pPr>
      <w:r w:rsidRPr="004F05CF">
        <w:rPr>
          <w:rFonts w:cs="Arial"/>
          <w:szCs w:val="24"/>
        </w:rPr>
        <w:t>Respond to customer feedback to ensure scheme communication continues to evolve, and to drive improvements in customer service.</w:t>
      </w:r>
    </w:p>
    <w:p w14:paraId="16A2593A" w14:textId="77777777" w:rsidR="00491648" w:rsidRPr="004F05CF" w:rsidRDefault="00491648" w:rsidP="00C7117E">
      <w:pPr>
        <w:pStyle w:val="Heading4"/>
        <w:rPr>
          <w:rFonts w:cs="Arial"/>
          <w:szCs w:val="24"/>
        </w:rPr>
      </w:pPr>
    </w:p>
    <w:p w14:paraId="6D45B31A" w14:textId="77777777" w:rsidR="00491648" w:rsidRPr="004F05CF" w:rsidRDefault="00491648" w:rsidP="00C7117E">
      <w:pPr>
        <w:pStyle w:val="Heading4"/>
        <w:rPr>
          <w:rFonts w:cs="Arial"/>
          <w:szCs w:val="24"/>
        </w:rPr>
      </w:pPr>
      <w:r w:rsidRPr="004F05CF">
        <w:rPr>
          <w:rFonts w:cs="Arial"/>
          <w:szCs w:val="24"/>
        </w:rPr>
        <w:t>Initially, guided by the Government’s ‘Digital by Default’ agenda, we have continued the drive towards electronic communications as a main channel for engagement.  Through for example: the on-lining of P60 and Benefit Statements; the push to increase the number of members with a My Pensions Online (MPO) account; the implementation of Monthly Data Capture (MDC) from 2018 to streamline the provision of member data etc.  These moves help deliver a more up-to-date service and to keep pace with IT developments, allowing us access to better scheme data and to constantly improve the member experience.</w:t>
      </w:r>
    </w:p>
    <w:p w14:paraId="25F4CCA8" w14:textId="77777777" w:rsidR="00491648" w:rsidRPr="004F05CF" w:rsidRDefault="00491648" w:rsidP="00C7117E">
      <w:pPr>
        <w:pStyle w:val="Heading3"/>
        <w:rPr>
          <w:rFonts w:cs="Arial"/>
          <w:szCs w:val="24"/>
        </w:rPr>
      </w:pPr>
    </w:p>
    <w:p w14:paraId="64579A34" w14:textId="5F98743D" w:rsidR="00C12ACE" w:rsidRDefault="00491648" w:rsidP="00A353A0">
      <w:pPr>
        <w:pStyle w:val="Heading3"/>
        <w:rPr>
          <w:rFonts w:cs="Arial"/>
          <w:b/>
          <w:szCs w:val="24"/>
        </w:rPr>
      </w:pPr>
      <w:r w:rsidRPr="004F05CF">
        <w:rPr>
          <w:rFonts w:cs="Arial"/>
          <w:szCs w:val="24"/>
        </w:rPr>
        <w:t>The sub-committee’s role within this will be to seek assurance that these objectives continue to be met effectively and to provide assurance to the TPSPB that the engagement plan is appropriate and that mechanisms are in place to ensure the timely delivery of key messages to members.</w:t>
      </w:r>
    </w:p>
    <w:p w14:paraId="71059EB3" w14:textId="286BB871" w:rsidR="00C12ACE" w:rsidRPr="005627FA" w:rsidRDefault="00C12ACE" w:rsidP="00A353A0">
      <w:pPr>
        <w:pStyle w:val="ListParagraph"/>
        <w:widowControl/>
        <w:overflowPunct/>
        <w:autoSpaceDE/>
        <w:autoSpaceDN/>
        <w:adjustRightInd/>
        <w:spacing w:line="360" w:lineRule="auto"/>
        <w:jc w:val="both"/>
        <w:textAlignment w:val="auto"/>
        <w:rPr>
          <w:rFonts w:cs="Arial"/>
          <w:b/>
        </w:rPr>
      </w:pPr>
    </w:p>
    <w:sectPr w:rsidR="00C12ACE" w:rsidRPr="005627FA" w:rsidSect="00176ED4">
      <w:headerReference w:type="default" r:id="rId18"/>
      <w:footerReference w:type="default" r:id="rId19"/>
      <w:pgSz w:w="11906" w:h="16838"/>
      <w:pgMar w:top="1440"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C3D4" w14:textId="77777777" w:rsidR="006375F9" w:rsidRDefault="006375F9">
      <w:r>
        <w:separator/>
      </w:r>
    </w:p>
  </w:endnote>
  <w:endnote w:type="continuationSeparator" w:id="0">
    <w:p w14:paraId="23F5CF57" w14:textId="77777777" w:rsidR="006375F9" w:rsidRDefault="0063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72887"/>
      <w:docPartObj>
        <w:docPartGallery w:val="Page Numbers (Bottom of Page)"/>
        <w:docPartUnique/>
      </w:docPartObj>
    </w:sdtPr>
    <w:sdtEndPr>
      <w:rPr>
        <w:noProof/>
        <w:sz w:val="16"/>
        <w:szCs w:val="16"/>
      </w:rPr>
    </w:sdtEndPr>
    <w:sdtContent>
      <w:p w14:paraId="1D4BB2EC" w14:textId="041A1CE9" w:rsidR="006375F9" w:rsidRPr="000C5390" w:rsidRDefault="006375F9">
        <w:pPr>
          <w:pStyle w:val="Footer"/>
          <w:jc w:val="center"/>
          <w:rPr>
            <w:sz w:val="16"/>
            <w:szCs w:val="16"/>
          </w:rPr>
        </w:pPr>
        <w:r w:rsidRPr="000C5390">
          <w:rPr>
            <w:sz w:val="16"/>
            <w:szCs w:val="16"/>
          </w:rPr>
          <w:fldChar w:fldCharType="begin"/>
        </w:r>
        <w:r w:rsidRPr="000C5390">
          <w:rPr>
            <w:sz w:val="16"/>
            <w:szCs w:val="16"/>
          </w:rPr>
          <w:instrText xml:space="preserve"> PAGE   \* MERGEFORMAT </w:instrText>
        </w:r>
        <w:r w:rsidRPr="000C5390">
          <w:rPr>
            <w:sz w:val="16"/>
            <w:szCs w:val="16"/>
          </w:rPr>
          <w:fldChar w:fldCharType="separate"/>
        </w:r>
        <w:r w:rsidR="00143627">
          <w:rPr>
            <w:noProof/>
            <w:sz w:val="16"/>
            <w:szCs w:val="16"/>
          </w:rPr>
          <w:t>1</w:t>
        </w:r>
        <w:r w:rsidRPr="000C5390">
          <w:rPr>
            <w:noProof/>
            <w:sz w:val="16"/>
            <w:szCs w:val="16"/>
          </w:rPr>
          <w:fldChar w:fldCharType="end"/>
        </w:r>
      </w:p>
    </w:sdtContent>
  </w:sdt>
  <w:p w14:paraId="7C1BCE8A" w14:textId="77777777" w:rsidR="006375F9" w:rsidRDefault="00637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B582" w14:textId="77777777" w:rsidR="006375F9" w:rsidRDefault="006375F9">
      <w:r>
        <w:separator/>
      </w:r>
    </w:p>
  </w:footnote>
  <w:footnote w:type="continuationSeparator" w:id="0">
    <w:p w14:paraId="4AF191D1" w14:textId="77777777" w:rsidR="006375F9" w:rsidRDefault="0063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C3CE" w14:textId="1412C170" w:rsidR="006375F9" w:rsidRPr="00037F03" w:rsidRDefault="006375F9" w:rsidP="00E16D6D">
    <w:pPr>
      <w:pStyle w:val="Header"/>
      <w:rPr>
        <w:sz w:val="22"/>
        <w:szCs w:val="22"/>
      </w:rPr>
    </w:pPr>
    <w:r w:rsidRPr="00037F03">
      <w:rPr>
        <w:sz w:val="22"/>
        <w:szCs w:val="22"/>
      </w:rPr>
      <w:t xml:space="preserve">PAPER </w:t>
    </w:r>
    <w:r w:rsidR="00594A94">
      <w:rPr>
        <w:sz w:val="22"/>
        <w:szCs w:val="22"/>
      </w:rPr>
      <w:t>11</w:t>
    </w:r>
    <w:r w:rsidRPr="00037F03">
      <w:rPr>
        <w:sz w:val="22"/>
        <w:szCs w:val="22"/>
      </w:rPr>
      <w:t xml:space="preserve"> (Agenda item </w:t>
    </w:r>
    <w:r w:rsidR="00594A94">
      <w:rPr>
        <w:sz w:val="22"/>
        <w:szCs w:val="22"/>
      </w:rPr>
      <w:t>5</w:t>
    </w:r>
    <w:r w:rsidRPr="00037F03">
      <w:rPr>
        <w:sz w:val="22"/>
        <w:szCs w:val="22"/>
      </w:rPr>
      <w:t xml:space="preserve">)                                           </w:t>
    </w:r>
    <w:r w:rsidR="00037F03">
      <w:rPr>
        <w:sz w:val="22"/>
        <w:szCs w:val="22"/>
      </w:rPr>
      <w:t xml:space="preserve">         </w:t>
    </w:r>
    <w:r w:rsidRPr="00037F03">
      <w:rPr>
        <w:sz w:val="22"/>
        <w:szCs w:val="22"/>
      </w:rPr>
      <w:t xml:space="preserve">  TPSPB </w:t>
    </w:r>
    <w:r w:rsidR="00037F03" w:rsidRPr="00037F03">
      <w:rPr>
        <w:sz w:val="22"/>
        <w:szCs w:val="22"/>
      </w:rPr>
      <w:t>Meeting 18 April</w:t>
    </w:r>
    <w:r w:rsidRPr="00037F03">
      <w:rPr>
        <w:sz w:val="22"/>
        <w:szCs w:val="22"/>
      </w:rPr>
      <w:t xml:space="preserve"> 2018</w:t>
    </w:r>
  </w:p>
  <w:p w14:paraId="153FB96A" w14:textId="77777777" w:rsidR="006375F9" w:rsidRDefault="006375F9">
    <w:pPr>
      <w:pStyle w:val="Header"/>
    </w:pPr>
  </w:p>
  <w:p w14:paraId="48B8C97C" w14:textId="77777777" w:rsidR="006375F9" w:rsidRDefault="00637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CA55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E6D"/>
    <w:multiLevelType w:val="hybridMultilevel"/>
    <w:tmpl w:val="24E48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553A97"/>
    <w:multiLevelType w:val="hybridMultilevel"/>
    <w:tmpl w:val="CCAA25BE"/>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15B71"/>
    <w:multiLevelType w:val="hybridMultilevel"/>
    <w:tmpl w:val="987C717E"/>
    <w:lvl w:ilvl="0" w:tplc="08090001">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478FE"/>
    <w:multiLevelType w:val="hybridMultilevel"/>
    <w:tmpl w:val="FB7456B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46468"/>
    <w:multiLevelType w:val="hybridMultilevel"/>
    <w:tmpl w:val="527A7ED0"/>
    <w:lvl w:ilvl="0" w:tplc="2E48D1C6">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AB452F"/>
    <w:multiLevelType w:val="hybridMultilevel"/>
    <w:tmpl w:val="3452898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A6982"/>
    <w:multiLevelType w:val="hybridMultilevel"/>
    <w:tmpl w:val="EA38E2F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77999"/>
    <w:multiLevelType w:val="hybridMultilevel"/>
    <w:tmpl w:val="E9143A0C"/>
    <w:lvl w:ilvl="0" w:tplc="7242EC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465E"/>
    <w:multiLevelType w:val="hybridMultilevel"/>
    <w:tmpl w:val="B1CC4C3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32E63"/>
    <w:multiLevelType w:val="hybridMultilevel"/>
    <w:tmpl w:val="7374B9E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811175"/>
    <w:multiLevelType w:val="hybridMultilevel"/>
    <w:tmpl w:val="92A2F38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BAB78D0"/>
    <w:multiLevelType w:val="hybridMultilevel"/>
    <w:tmpl w:val="17C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534E9"/>
    <w:multiLevelType w:val="hybridMultilevel"/>
    <w:tmpl w:val="03286472"/>
    <w:lvl w:ilvl="0" w:tplc="1F7660BE">
      <w:start w:val="1"/>
      <w:numFmt w:val="decimal"/>
      <w:lvlText w:val="%1."/>
      <w:lvlJc w:val="left"/>
      <w:pPr>
        <w:ind w:left="1440" w:hanging="360"/>
      </w:pPr>
      <w:rPr>
        <w:rFonts w:ascii="Arial" w:hAnsi="Aria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792BED"/>
    <w:multiLevelType w:val="hybridMultilevel"/>
    <w:tmpl w:val="C4DCBAA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C3479"/>
    <w:multiLevelType w:val="hybridMultilevel"/>
    <w:tmpl w:val="9D929B4A"/>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657F1"/>
    <w:multiLevelType w:val="hybridMultilevel"/>
    <w:tmpl w:val="6E4A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05653"/>
    <w:multiLevelType w:val="hybridMultilevel"/>
    <w:tmpl w:val="0CF8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B81639D"/>
    <w:multiLevelType w:val="hybridMultilevel"/>
    <w:tmpl w:val="91865312"/>
    <w:lvl w:ilvl="0" w:tplc="145A48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CE72C3"/>
    <w:multiLevelType w:val="hybridMultilevel"/>
    <w:tmpl w:val="018E1370"/>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42F45"/>
    <w:multiLevelType w:val="hybridMultilevel"/>
    <w:tmpl w:val="E9143A0C"/>
    <w:lvl w:ilvl="0" w:tplc="7242EC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721EF"/>
    <w:multiLevelType w:val="hybridMultilevel"/>
    <w:tmpl w:val="2814D3E6"/>
    <w:lvl w:ilvl="0" w:tplc="A168973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C2FD6"/>
    <w:multiLevelType w:val="hybridMultilevel"/>
    <w:tmpl w:val="DAE06B5C"/>
    <w:lvl w:ilvl="0" w:tplc="145A48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71C6B"/>
    <w:multiLevelType w:val="hybridMultilevel"/>
    <w:tmpl w:val="889A20E4"/>
    <w:lvl w:ilvl="0" w:tplc="2E48D1C6">
      <w:numFmt w:val="bullet"/>
      <w:lvlText w:val="•"/>
      <w:lvlJc w:val="left"/>
      <w:pPr>
        <w:ind w:left="720" w:hanging="360"/>
      </w:pPr>
      <w:rPr>
        <w:rFonts w:ascii="Arial" w:eastAsiaTheme="minorHAnsi" w:hAnsi="Arial" w:cs="Aria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5476F"/>
    <w:multiLevelType w:val="hybridMultilevel"/>
    <w:tmpl w:val="080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22"/>
  </w:num>
  <w:num w:numId="5">
    <w:abstractNumId w:val="0"/>
  </w:num>
  <w:num w:numId="6">
    <w:abstractNumId w:val="26"/>
  </w:num>
  <w:num w:numId="7">
    <w:abstractNumId w:val="21"/>
  </w:num>
  <w:num w:numId="8">
    <w:abstractNumId w:val="24"/>
  </w:num>
  <w:num w:numId="9">
    <w:abstractNumId w:val="28"/>
  </w:num>
  <w:num w:numId="10">
    <w:abstractNumId w:val="5"/>
  </w:num>
  <w:num w:numId="11">
    <w:abstractNumId w:val="12"/>
  </w:num>
  <w:num w:numId="12">
    <w:abstractNumId w:val="9"/>
  </w:num>
  <w:num w:numId="13">
    <w:abstractNumId w:val="27"/>
  </w:num>
  <w:num w:numId="14">
    <w:abstractNumId w:val="23"/>
  </w:num>
  <w:num w:numId="15">
    <w:abstractNumId w:val="10"/>
  </w:num>
  <w:num w:numId="16">
    <w:abstractNumId w:val="25"/>
  </w:num>
  <w:num w:numId="17">
    <w:abstractNumId w:val="17"/>
  </w:num>
  <w:num w:numId="18">
    <w:abstractNumId w:val="2"/>
  </w:num>
  <w:num w:numId="19">
    <w:abstractNumId w:val="4"/>
  </w:num>
  <w:num w:numId="20">
    <w:abstractNumId w:val="7"/>
  </w:num>
  <w:num w:numId="21">
    <w:abstractNumId w:val="6"/>
  </w:num>
  <w:num w:numId="22">
    <w:abstractNumId w:val="16"/>
  </w:num>
  <w:num w:numId="23">
    <w:abstractNumId w:val="1"/>
  </w:num>
  <w:num w:numId="24">
    <w:abstractNumId w:val="3"/>
  </w:num>
  <w:num w:numId="25">
    <w:abstractNumId w:val="8"/>
  </w:num>
  <w:num w:numId="26">
    <w:abstractNumId w:val="15"/>
  </w:num>
  <w:num w:numId="27">
    <w:abstractNumId w:val="19"/>
  </w:num>
  <w:num w:numId="28">
    <w:abstractNumId w:val="18"/>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41"/>
    <w:rsid w:val="00002470"/>
    <w:rsid w:val="00004EA1"/>
    <w:rsid w:val="00006819"/>
    <w:rsid w:val="000105CF"/>
    <w:rsid w:val="000105E5"/>
    <w:rsid w:val="00011F78"/>
    <w:rsid w:val="000126E7"/>
    <w:rsid w:val="0001581E"/>
    <w:rsid w:val="000209BB"/>
    <w:rsid w:val="000225E4"/>
    <w:rsid w:val="00022DB6"/>
    <w:rsid w:val="00027A2C"/>
    <w:rsid w:val="00035BFF"/>
    <w:rsid w:val="00037333"/>
    <w:rsid w:val="00037428"/>
    <w:rsid w:val="00037F03"/>
    <w:rsid w:val="00040188"/>
    <w:rsid w:val="00041864"/>
    <w:rsid w:val="0004336F"/>
    <w:rsid w:val="000437CC"/>
    <w:rsid w:val="00044947"/>
    <w:rsid w:val="0004776A"/>
    <w:rsid w:val="00052415"/>
    <w:rsid w:val="00060FDC"/>
    <w:rsid w:val="00065085"/>
    <w:rsid w:val="00065701"/>
    <w:rsid w:val="000675CF"/>
    <w:rsid w:val="00075239"/>
    <w:rsid w:val="00076703"/>
    <w:rsid w:val="00077DA9"/>
    <w:rsid w:val="000833EF"/>
    <w:rsid w:val="00085758"/>
    <w:rsid w:val="00090B99"/>
    <w:rsid w:val="0009636A"/>
    <w:rsid w:val="000A0C1B"/>
    <w:rsid w:val="000A18C1"/>
    <w:rsid w:val="000A5D03"/>
    <w:rsid w:val="000A6C4A"/>
    <w:rsid w:val="000A7D90"/>
    <w:rsid w:val="000B1468"/>
    <w:rsid w:val="000B2E9D"/>
    <w:rsid w:val="000C371C"/>
    <w:rsid w:val="000C5390"/>
    <w:rsid w:val="000D1945"/>
    <w:rsid w:val="000D4001"/>
    <w:rsid w:val="000D7882"/>
    <w:rsid w:val="000D7AF2"/>
    <w:rsid w:val="000E2184"/>
    <w:rsid w:val="000E4C9E"/>
    <w:rsid w:val="000E52A0"/>
    <w:rsid w:val="000E735A"/>
    <w:rsid w:val="000F0281"/>
    <w:rsid w:val="000F4E59"/>
    <w:rsid w:val="000F69D2"/>
    <w:rsid w:val="00100EAE"/>
    <w:rsid w:val="0010607E"/>
    <w:rsid w:val="00116F59"/>
    <w:rsid w:val="00122576"/>
    <w:rsid w:val="00123E5A"/>
    <w:rsid w:val="001254ED"/>
    <w:rsid w:val="001257B1"/>
    <w:rsid w:val="00126974"/>
    <w:rsid w:val="0013186E"/>
    <w:rsid w:val="00132922"/>
    <w:rsid w:val="00132EA1"/>
    <w:rsid w:val="001362FD"/>
    <w:rsid w:val="001366BB"/>
    <w:rsid w:val="00136E58"/>
    <w:rsid w:val="001372F2"/>
    <w:rsid w:val="00143627"/>
    <w:rsid w:val="00145B7A"/>
    <w:rsid w:val="00150451"/>
    <w:rsid w:val="00153F85"/>
    <w:rsid w:val="00160AFD"/>
    <w:rsid w:val="00163F54"/>
    <w:rsid w:val="00165081"/>
    <w:rsid w:val="001666BB"/>
    <w:rsid w:val="00174676"/>
    <w:rsid w:val="00175394"/>
    <w:rsid w:val="0017574C"/>
    <w:rsid w:val="00176ED4"/>
    <w:rsid w:val="00180A06"/>
    <w:rsid w:val="00182783"/>
    <w:rsid w:val="00185138"/>
    <w:rsid w:val="00185540"/>
    <w:rsid w:val="00185857"/>
    <w:rsid w:val="0018629E"/>
    <w:rsid w:val="00191F66"/>
    <w:rsid w:val="001951D5"/>
    <w:rsid w:val="00195F8E"/>
    <w:rsid w:val="001A20D5"/>
    <w:rsid w:val="001A28B6"/>
    <w:rsid w:val="001A2954"/>
    <w:rsid w:val="001A4D7D"/>
    <w:rsid w:val="001A54FA"/>
    <w:rsid w:val="001B05C8"/>
    <w:rsid w:val="001B19AE"/>
    <w:rsid w:val="001B46E4"/>
    <w:rsid w:val="001B52E6"/>
    <w:rsid w:val="001B6DF9"/>
    <w:rsid w:val="001C0A03"/>
    <w:rsid w:val="001C189A"/>
    <w:rsid w:val="001C2F2B"/>
    <w:rsid w:val="001D1783"/>
    <w:rsid w:val="001D55BC"/>
    <w:rsid w:val="001D7FB3"/>
    <w:rsid w:val="001E2034"/>
    <w:rsid w:val="001E3F44"/>
    <w:rsid w:val="001F1886"/>
    <w:rsid w:val="001F2118"/>
    <w:rsid w:val="001F7A50"/>
    <w:rsid w:val="002009C2"/>
    <w:rsid w:val="0020235E"/>
    <w:rsid w:val="002054E4"/>
    <w:rsid w:val="002058AA"/>
    <w:rsid w:val="00207BC8"/>
    <w:rsid w:val="00211C37"/>
    <w:rsid w:val="00212A6A"/>
    <w:rsid w:val="00212AC6"/>
    <w:rsid w:val="00212D24"/>
    <w:rsid w:val="00214F2C"/>
    <w:rsid w:val="00217581"/>
    <w:rsid w:val="00220E8B"/>
    <w:rsid w:val="002213E2"/>
    <w:rsid w:val="002230A6"/>
    <w:rsid w:val="002244B9"/>
    <w:rsid w:val="0023299F"/>
    <w:rsid w:val="002335B0"/>
    <w:rsid w:val="002338A1"/>
    <w:rsid w:val="00237398"/>
    <w:rsid w:val="002435D1"/>
    <w:rsid w:val="00246430"/>
    <w:rsid w:val="002464E5"/>
    <w:rsid w:val="00247E90"/>
    <w:rsid w:val="00250991"/>
    <w:rsid w:val="00251B95"/>
    <w:rsid w:val="0025215E"/>
    <w:rsid w:val="00255D4B"/>
    <w:rsid w:val="00257B4E"/>
    <w:rsid w:val="00266064"/>
    <w:rsid w:val="00267F00"/>
    <w:rsid w:val="00271600"/>
    <w:rsid w:val="0027528A"/>
    <w:rsid w:val="0027611C"/>
    <w:rsid w:val="00280F36"/>
    <w:rsid w:val="00283CD8"/>
    <w:rsid w:val="002840D0"/>
    <w:rsid w:val="00294B22"/>
    <w:rsid w:val="00295EFC"/>
    <w:rsid w:val="00296BBE"/>
    <w:rsid w:val="002A5BB8"/>
    <w:rsid w:val="002A7069"/>
    <w:rsid w:val="002B0305"/>
    <w:rsid w:val="002B1B2C"/>
    <w:rsid w:val="002B360F"/>
    <w:rsid w:val="002B651E"/>
    <w:rsid w:val="002B69B5"/>
    <w:rsid w:val="002C1665"/>
    <w:rsid w:val="002C20B4"/>
    <w:rsid w:val="002C2BDD"/>
    <w:rsid w:val="002C50F9"/>
    <w:rsid w:val="002D2A7A"/>
    <w:rsid w:val="002D41FE"/>
    <w:rsid w:val="002E047F"/>
    <w:rsid w:val="002E0AD1"/>
    <w:rsid w:val="002E14CB"/>
    <w:rsid w:val="002E167D"/>
    <w:rsid w:val="002E28FA"/>
    <w:rsid w:val="002E3089"/>
    <w:rsid w:val="002E6431"/>
    <w:rsid w:val="002E7015"/>
    <w:rsid w:val="002F1D88"/>
    <w:rsid w:val="002F35B4"/>
    <w:rsid w:val="002F4069"/>
    <w:rsid w:val="002F6536"/>
    <w:rsid w:val="002F6DFB"/>
    <w:rsid w:val="00301132"/>
    <w:rsid w:val="003038C0"/>
    <w:rsid w:val="003102EA"/>
    <w:rsid w:val="00310708"/>
    <w:rsid w:val="00312BD3"/>
    <w:rsid w:val="00313459"/>
    <w:rsid w:val="003143B4"/>
    <w:rsid w:val="00314E65"/>
    <w:rsid w:val="003219B9"/>
    <w:rsid w:val="00326C23"/>
    <w:rsid w:val="003279E5"/>
    <w:rsid w:val="00327FA8"/>
    <w:rsid w:val="003307FC"/>
    <w:rsid w:val="00334511"/>
    <w:rsid w:val="0033604A"/>
    <w:rsid w:val="00341A1F"/>
    <w:rsid w:val="003438D2"/>
    <w:rsid w:val="00345F70"/>
    <w:rsid w:val="00347A3B"/>
    <w:rsid w:val="00350878"/>
    <w:rsid w:val="00367EEB"/>
    <w:rsid w:val="00370880"/>
    <w:rsid w:val="00370895"/>
    <w:rsid w:val="003735C2"/>
    <w:rsid w:val="003745A8"/>
    <w:rsid w:val="00376688"/>
    <w:rsid w:val="00376CF0"/>
    <w:rsid w:val="003821C6"/>
    <w:rsid w:val="00391549"/>
    <w:rsid w:val="00392AE9"/>
    <w:rsid w:val="003A2C26"/>
    <w:rsid w:val="003B0C3F"/>
    <w:rsid w:val="003B21DB"/>
    <w:rsid w:val="003B3207"/>
    <w:rsid w:val="003B4769"/>
    <w:rsid w:val="003B546C"/>
    <w:rsid w:val="003B5D37"/>
    <w:rsid w:val="003B78F9"/>
    <w:rsid w:val="003C6A61"/>
    <w:rsid w:val="003C7B4B"/>
    <w:rsid w:val="003D1C61"/>
    <w:rsid w:val="003D1E75"/>
    <w:rsid w:val="003D461D"/>
    <w:rsid w:val="003D4F34"/>
    <w:rsid w:val="003D74A2"/>
    <w:rsid w:val="003D7A13"/>
    <w:rsid w:val="003E07D1"/>
    <w:rsid w:val="003E1B86"/>
    <w:rsid w:val="003E69DE"/>
    <w:rsid w:val="004027AF"/>
    <w:rsid w:val="00402829"/>
    <w:rsid w:val="00402B87"/>
    <w:rsid w:val="004074C9"/>
    <w:rsid w:val="00412871"/>
    <w:rsid w:val="004153FA"/>
    <w:rsid w:val="00416A33"/>
    <w:rsid w:val="00422D63"/>
    <w:rsid w:val="00424866"/>
    <w:rsid w:val="004250AD"/>
    <w:rsid w:val="00427717"/>
    <w:rsid w:val="00430DC5"/>
    <w:rsid w:val="00432026"/>
    <w:rsid w:val="00432D39"/>
    <w:rsid w:val="004331D7"/>
    <w:rsid w:val="004373AD"/>
    <w:rsid w:val="00437704"/>
    <w:rsid w:val="00437E4A"/>
    <w:rsid w:val="00444BD5"/>
    <w:rsid w:val="0045082E"/>
    <w:rsid w:val="00450D89"/>
    <w:rsid w:val="004533A7"/>
    <w:rsid w:val="004542DC"/>
    <w:rsid w:val="00455887"/>
    <w:rsid w:val="00460505"/>
    <w:rsid w:val="00463122"/>
    <w:rsid w:val="00466874"/>
    <w:rsid w:val="00473A92"/>
    <w:rsid w:val="00477AEA"/>
    <w:rsid w:val="00480E77"/>
    <w:rsid w:val="0048158F"/>
    <w:rsid w:val="00482435"/>
    <w:rsid w:val="00484C39"/>
    <w:rsid w:val="00491648"/>
    <w:rsid w:val="00491B1F"/>
    <w:rsid w:val="004955D9"/>
    <w:rsid w:val="004A4D90"/>
    <w:rsid w:val="004A63ED"/>
    <w:rsid w:val="004B1BCC"/>
    <w:rsid w:val="004B4487"/>
    <w:rsid w:val="004B6B56"/>
    <w:rsid w:val="004C067F"/>
    <w:rsid w:val="004C321A"/>
    <w:rsid w:val="004C32E8"/>
    <w:rsid w:val="004C4972"/>
    <w:rsid w:val="004C4FA7"/>
    <w:rsid w:val="004C64AE"/>
    <w:rsid w:val="004C7C7D"/>
    <w:rsid w:val="004D2BB3"/>
    <w:rsid w:val="004D71C7"/>
    <w:rsid w:val="004E0392"/>
    <w:rsid w:val="004E0769"/>
    <w:rsid w:val="004E4263"/>
    <w:rsid w:val="004E45EC"/>
    <w:rsid w:val="004E494E"/>
    <w:rsid w:val="004E5533"/>
    <w:rsid w:val="004E633C"/>
    <w:rsid w:val="004E7015"/>
    <w:rsid w:val="004F05CF"/>
    <w:rsid w:val="004F0B25"/>
    <w:rsid w:val="004F1A3E"/>
    <w:rsid w:val="004F7F73"/>
    <w:rsid w:val="00500F31"/>
    <w:rsid w:val="00501BFF"/>
    <w:rsid w:val="005028A7"/>
    <w:rsid w:val="00502D50"/>
    <w:rsid w:val="00503069"/>
    <w:rsid w:val="00504D18"/>
    <w:rsid w:val="00511CA5"/>
    <w:rsid w:val="00513E94"/>
    <w:rsid w:val="00514E70"/>
    <w:rsid w:val="005150CE"/>
    <w:rsid w:val="00515C7A"/>
    <w:rsid w:val="0051718D"/>
    <w:rsid w:val="00523049"/>
    <w:rsid w:val="005238B0"/>
    <w:rsid w:val="005279DD"/>
    <w:rsid w:val="00530814"/>
    <w:rsid w:val="005323E9"/>
    <w:rsid w:val="00532531"/>
    <w:rsid w:val="00532A05"/>
    <w:rsid w:val="00536CCA"/>
    <w:rsid w:val="00545301"/>
    <w:rsid w:val="00560C75"/>
    <w:rsid w:val="00560CAB"/>
    <w:rsid w:val="005627FA"/>
    <w:rsid w:val="005632CC"/>
    <w:rsid w:val="00565333"/>
    <w:rsid w:val="00566907"/>
    <w:rsid w:val="00566E51"/>
    <w:rsid w:val="00570E0A"/>
    <w:rsid w:val="00570E42"/>
    <w:rsid w:val="00575F08"/>
    <w:rsid w:val="00580DDB"/>
    <w:rsid w:val="005826DE"/>
    <w:rsid w:val="005833CE"/>
    <w:rsid w:val="0058430B"/>
    <w:rsid w:val="0058545B"/>
    <w:rsid w:val="0059072E"/>
    <w:rsid w:val="00591B39"/>
    <w:rsid w:val="00594A94"/>
    <w:rsid w:val="005A501A"/>
    <w:rsid w:val="005B1AF4"/>
    <w:rsid w:val="005B1CC3"/>
    <w:rsid w:val="005B38FA"/>
    <w:rsid w:val="005B5A07"/>
    <w:rsid w:val="005C06E6"/>
    <w:rsid w:val="005C105B"/>
    <w:rsid w:val="005C1372"/>
    <w:rsid w:val="005C2EE7"/>
    <w:rsid w:val="005C3E92"/>
    <w:rsid w:val="005D2766"/>
    <w:rsid w:val="005D45D0"/>
    <w:rsid w:val="005D6A1A"/>
    <w:rsid w:val="005D7B60"/>
    <w:rsid w:val="005E19E3"/>
    <w:rsid w:val="005E1BA5"/>
    <w:rsid w:val="005E21EB"/>
    <w:rsid w:val="005E24AF"/>
    <w:rsid w:val="005E2EA2"/>
    <w:rsid w:val="005E32C1"/>
    <w:rsid w:val="005E39F2"/>
    <w:rsid w:val="005F1BB1"/>
    <w:rsid w:val="005F4BBF"/>
    <w:rsid w:val="0060005C"/>
    <w:rsid w:val="006076BB"/>
    <w:rsid w:val="00607A4B"/>
    <w:rsid w:val="00610389"/>
    <w:rsid w:val="006107B0"/>
    <w:rsid w:val="00614162"/>
    <w:rsid w:val="00616BF8"/>
    <w:rsid w:val="0061706D"/>
    <w:rsid w:val="006209E9"/>
    <w:rsid w:val="0062704E"/>
    <w:rsid w:val="00630E86"/>
    <w:rsid w:val="0063411A"/>
    <w:rsid w:val="00634682"/>
    <w:rsid w:val="0063507E"/>
    <w:rsid w:val="0063540D"/>
    <w:rsid w:val="0063602B"/>
    <w:rsid w:val="006363E9"/>
    <w:rsid w:val="006375F9"/>
    <w:rsid w:val="00641A82"/>
    <w:rsid w:val="00642F97"/>
    <w:rsid w:val="00644223"/>
    <w:rsid w:val="00645262"/>
    <w:rsid w:val="006455AC"/>
    <w:rsid w:val="00645B84"/>
    <w:rsid w:val="00654870"/>
    <w:rsid w:val="00655B23"/>
    <w:rsid w:val="00656AF0"/>
    <w:rsid w:val="006626AA"/>
    <w:rsid w:val="00664C8E"/>
    <w:rsid w:val="006757F1"/>
    <w:rsid w:val="0068462E"/>
    <w:rsid w:val="0068479D"/>
    <w:rsid w:val="006854F8"/>
    <w:rsid w:val="006858D6"/>
    <w:rsid w:val="0068597D"/>
    <w:rsid w:val="00687908"/>
    <w:rsid w:val="00687EC8"/>
    <w:rsid w:val="00694BBB"/>
    <w:rsid w:val="00694DF4"/>
    <w:rsid w:val="006974DC"/>
    <w:rsid w:val="006975B3"/>
    <w:rsid w:val="006A005C"/>
    <w:rsid w:val="006A0189"/>
    <w:rsid w:val="006A1127"/>
    <w:rsid w:val="006A16A6"/>
    <w:rsid w:val="006A2F72"/>
    <w:rsid w:val="006A3278"/>
    <w:rsid w:val="006A3A50"/>
    <w:rsid w:val="006A5101"/>
    <w:rsid w:val="006A5986"/>
    <w:rsid w:val="006A7BEF"/>
    <w:rsid w:val="006B0E54"/>
    <w:rsid w:val="006B123E"/>
    <w:rsid w:val="006B6486"/>
    <w:rsid w:val="006C1D72"/>
    <w:rsid w:val="006C4936"/>
    <w:rsid w:val="006C52DF"/>
    <w:rsid w:val="006C5500"/>
    <w:rsid w:val="006C7401"/>
    <w:rsid w:val="006C7EB3"/>
    <w:rsid w:val="006D1E22"/>
    <w:rsid w:val="006D3EBD"/>
    <w:rsid w:val="006D496F"/>
    <w:rsid w:val="006D753B"/>
    <w:rsid w:val="006E0DB1"/>
    <w:rsid w:val="006E4A60"/>
    <w:rsid w:val="006E6F0B"/>
    <w:rsid w:val="006F29D4"/>
    <w:rsid w:val="00701BFF"/>
    <w:rsid w:val="007104E4"/>
    <w:rsid w:val="007148B4"/>
    <w:rsid w:val="007148B7"/>
    <w:rsid w:val="00715105"/>
    <w:rsid w:val="00717CD7"/>
    <w:rsid w:val="00720296"/>
    <w:rsid w:val="00720BA8"/>
    <w:rsid w:val="007212DB"/>
    <w:rsid w:val="00723A55"/>
    <w:rsid w:val="00723B92"/>
    <w:rsid w:val="0072455E"/>
    <w:rsid w:val="00724665"/>
    <w:rsid w:val="007333A0"/>
    <w:rsid w:val="00737573"/>
    <w:rsid w:val="00741A64"/>
    <w:rsid w:val="007442BB"/>
    <w:rsid w:val="007463C5"/>
    <w:rsid w:val="00746846"/>
    <w:rsid w:val="007469D4"/>
    <w:rsid w:val="00750E54"/>
    <w:rsid w:val="007510C3"/>
    <w:rsid w:val="00755106"/>
    <w:rsid w:val="0076458E"/>
    <w:rsid w:val="00767062"/>
    <w:rsid w:val="00767063"/>
    <w:rsid w:val="00772B07"/>
    <w:rsid w:val="00775E55"/>
    <w:rsid w:val="00777F1B"/>
    <w:rsid w:val="00784D3F"/>
    <w:rsid w:val="0078706F"/>
    <w:rsid w:val="007870B9"/>
    <w:rsid w:val="007940AE"/>
    <w:rsid w:val="00794A8C"/>
    <w:rsid w:val="007A0F56"/>
    <w:rsid w:val="007A10F9"/>
    <w:rsid w:val="007A14A3"/>
    <w:rsid w:val="007A3D06"/>
    <w:rsid w:val="007A428D"/>
    <w:rsid w:val="007A4C02"/>
    <w:rsid w:val="007A5295"/>
    <w:rsid w:val="007B49CD"/>
    <w:rsid w:val="007B4D5F"/>
    <w:rsid w:val="007B593B"/>
    <w:rsid w:val="007B5A46"/>
    <w:rsid w:val="007C05FC"/>
    <w:rsid w:val="007C1BC2"/>
    <w:rsid w:val="007C42CC"/>
    <w:rsid w:val="007C5074"/>
    <w:rsid w:val="007D0DBA"/>
    <w:rsid w:val="007D3B27"/>
    <w:rsid w:val="007D4DB0"/>
    <w:rsid w:val="007D7565"/>
    <w:rsid w:val="007D7B0E"/>
    <w:rsid w:val="007E24FB"/>
    <w:rsid w:val="007E2954"/>
    <w:rsid w:val="007E31DF"/>
    <w:rsid w:val="007F073B"/>
    <w:rsid w:val="007F1D65"/>
    <w:rsid w:val="00803100"/>
    <w:rsid w:val="00803884"/>
    <w:rsid w:val="00805884"/>
    <w:rsid w:val="00805C72"/>
    <w:rsid w:val="00806792"/>
    <w:rsid w:val="00806A7A"/>
    <w:rsid w:val="00810215"/>
    <w:rsid w:val="00810542"/>
    <w:rsid w:val="00812102"/>
    <w:rsid w:val="0081404A"/>
    <w:rsid w:val="00814C1B"/>
    <w:rsid w:val="0081776F"/>
    <w:rsid w:val="00831225"/>
    <w:rsid w:val="0083213D"/>
    <w:rsid w:val="00837469"/>
    <w:rsid w:val="00840DF1"/>
    <w:rsid w:val="008428AB"/>
    <w:rsid w:val="0084649A"/>
    <w:rsid w:val="00847692"/>
    <w:rsid w:val="00847BF3"/>
    <w:rsid w:val="00854A63"/>
    <w:rsid w:val="00855ED4"/>
    <w:rsid w:val="00860B31"/>
    <w:rsid w:val="0086125E"/>
    <w:rsid w:val="00863664"/>
    <w:rsid w:val="008721F0"/>
    <w:rsid w:val="008748D6"/>
    <w:rsid w:val="00877044"/>
    <w:rsid w:val="0088151C"/>
    <w:rsid w:val="008817AB"/>
    <w:rsid w:val="008843A4"/>
    <w:rsid w:val="008929A5"/>
    <w:rsid w:val="008936DF"/>
    <w:rsid w:val="008936EC"/>
    <w:rsid w:val="00893CAE"/>
    <w:rsid w:val="008955E8"/>
    <w:rsid w:val="00896121"/>
    <w:rsid w:val="008A30E4"/>
    <w:rsid w:val="008A5E21"/>
    <w:rsid w:val="008A60DA"/>
    <w:rsid w:val="008B0144"/>
    <w:rsid w:val="008B1C49"/>
    <w:rsid w:val="008B4D71"/>
    <w:rsid w:val="008B5F08"/>
    <w:rsid w:val="008B67CC"/>
    <w:rsid w:val="008C16B7"/>
    <w:rsid w:val="008C52DA"/>
    <w:rsid w:val="008D1228"/>
    <w:rsid w:val="008D6BD8"/>
    <w:rsid w:val="008E00C0"/>
    <w:rsid w:val="008E3590"/>
    <w:rsid w:val="008E3BDA"/>
    <w:rsid w:val="008E448D"/>
    <w:rsid w:val="008E5B51"/>
    <w:rsid w:val="008F168F"/>
    <w:rsid w:val="008F26FD"/>
    <w:rsid w:val="008F2BCE"/>
    <w:rsid w:val="008F452F"/>
    <w:rsid w:val="008F4AE9"/>
    <w:rsid w:val="009006E6"/>
    <w:rsid w:val="009024CC"/>
    <w:rsid w:val="009045E5"/>
    <w:rsid w:val="009047EF"/>
    <w:rsid w:val="00904D28"/>
    <w:rsid w:val="009057A1"/>
    <w:rsid w:val="00905ADC"/>
    <w:rsid w:val="00906C33"/>
    <w:rsid w:val="00906CED"/>
    <w:rsid w:val="00914EEE"/>
    <w:rsid w:val="00915975"/>
    <w:rsid w:val="009173AF"/>
    <w:rsid w:val="00917E1E"/>
    <w:rsid w:val="0092049F"/>
    <w:rsid w:val="0092476B"/>
    <w:rsid w:val="00925E89"/>
    <w:rsid w:val="00927558"/>
    <w:rsid w:val="00932528"/>
    <w:rsid w:val="00932946"/>
    <w:rsid w:val="0093697E"/>
    <w:rsid w:val="0093719C"/>
    <w:rsid w:val="009400D8"/>
    <w:rsid w:val="009404CA"/>
    <w:rsid w:val="00941635"/>
    <w:rsid w:val="00941BB5"/>
    <w:rsid w:val="009424FA"/>
    <w:rsid w:val="009426CB"/>
    <w:rsid w:val="00943645"/>
    <w:rsid w:val="009455C1"/>
    <w:rsid w:val="0095341C"/>
    <w:rsid w:val="00957551"/>
    <w:rsid w:val="00963073"/>
    <w:rsid w:val="00964700"/>
    <w:rsid w:val="009717C5"/>
    <w:rsid w:val="0097315A"/>
    <w:rsid w:val="00973DF9"/>
    <w:rsid w:val="009748EE"/>
    <w:rsid w:val="00974E98"/>
    <w:rsid w:val="0097597F"/>
    <w:rsid w:val="00980E8B"/>
    <w:rsid w:val="009811ED"/>
    <w:rsid w:val="00983349"/>
    <w:rsid w:val="00986E30"/>
    <w:rsid w:val="009919BE"/>
    <w:rsid w:val="00993DC2"/>
    <w:rsid w:val="00994889"/>
    <w:rsid w:val="009A1760"/>
    <w:rsid w:val="009A3B70"/>
    <w:rsid w:val="009A3F0A"/>
    <w:rsid w:val="009A546B"/>
    <w:rsid w:val="009B0D51"/>
    <w:rsid w:val="009B3A70"/>
    <w:rsid w:val="009B3EFE"/>
    <w:rsid w:val="009B493A"/>
    <w:rsid w:val="009B679D"/>
    <w:rsid w:val="009C2CFD"/>
    <w:rsid w:val="009C573E"/>
    <w:rsid w:val="009D1575"/>
    <w:rsid w:val="009D3D73"/>
    <w:rsid w:val="009D5A44"/>
    <w:rsid w:val="009E4584"/>
    <w:rsid w:val="009E4FB0"/>
    <w:rsid w:val="009E73AD"/>
    <w:rsid w:val="009F1B81"/>
    <w:rsid w:val="009F5357"/>
    <w:rsid w:val="009F7653"/>
    <w:rsid w:val="009F7B4A"/>
    <w:rsid w:val="00A00569"/>
    <w:rsid w:val="00A14485"/>
    <w:rsid w:val="00A1503F"/>
    <w:rsid w:val="00A210C2"/>
    <w:rsid w:val="00A21E85"/>
    <w:rsid w:val="00A24E73"/>
    <w:rsid w:val="00A259C2"/>
    <w:rsid w:val="00A2644E"/>
    <w:rsid w:val="00A2712A"/>
    <w:rsid w:val="00A3306B"/>
    <w:rsid w:val="00A353A0"/>
    <w:rsid w:val="00A36044"/>
    <w:rsid w:val="00A366A9"/>
    <w:rsid w:val="00A43433"/>
    <w:rsid w:val="00A44411"/>
    <w:rsid w:val="00A46912"/>
    <w:rsid w:val="00A51193"/>
    <w:rsid w:val="00A51A34"/>
    <w:rsid w:val="00A51F32"/>
    <w:rsid w:val="00A553F5"/>
    <w:rsid w:val="00A63531"/>
    <w:rsid w:val="00A64099"/>
    <w:rsid w:val="00A654FC"/>
    <w:rsid w:val="00A71702"/>
    <w:rsid w:val="00A73BAD"/>
    <w:rsid w:val="00A75C61"/>
    <w:rsid w:val="00A8007E"/>
    <w:rsid w:val="00A835D2"/>
    <w:rsid w:val="00A84F74"/>
    <w:rsid w:val="00A90078"/>
    <w:rsid w:val="00A94D45"/>
    <w:rsid w:val="00A96425"/>
    <w:rsid w:val="00A97E91"/>
    <w:rsid w:val="00AA14A0"/>
    <w:rsid w:val="00AA55EF"/>
    <w:rsid w:val="00AA5C1E"/>
    <w:rsid w:val="00AB0E0C"/>
    <w:rsid w:val="00AB1623"/>
    <w:rsid w:val="00AB2254"/>
    <w:rsid w:val="00AB345C"/>
    <w:rsid w:val="00AB34A2"/>
    <w:rsid w:val="00AB6016"/>
    <w:rsid w:val="00AB6587"/>
    <w:rsid w:val="00AC22E8"/>
    <w:rsid w:val="00AC2A37"/>
    <w:rsid w:val="00AC4DE1"/>
    <w:rsid w:val="00AC5733"/>
    <w:rsid w:val="00AC7120"/>
    <w:rsid w:val="00AC7D0B"/>
    <w:rsid w:val="00AD0E50"/>
    <w:rsid w:val="00AD3CC6"/>
    <w:rsid w:val="00AD632D"/>
    <w:rsid w:val="00AE2535"/>
    <w:rsid w:val="00AE718F"/>
    <w:rsid w:val="00AE794B"/>
    <w:rsid w:val="00AF0554"/>
    <w:rsid w:val="00AF191E"/>
    <w:rsid w:val="00AF1A11"/>
    <w:rsid w:val="00AF1C07"/>
    <w:rsid w:val="00AF2376"/>
    <w:rsid w:val="00AF2D17"/>
    <w:rsid w:val="00AF737F"/>
    <w:rsid w:val="00B006DF"/>
    <w:rsid w:val="00B02A5B"/>
    <w:rsid w:val="00B0324F"/>
    <w:rsid w:val="00B05ECD"/>
    <w:rsid w:val="00B06172"/>
    <w:rsid w:val="00B14B7C"/>
    <w:rsid w:val="00B16A24"/>
    <w:rsid w:val="00B16A8C"/>
    <w:rsid w:val="00B22F3D"/>
    <w:rsid w:val="00B230B6"/>
    <w:rsid w:val="00B2586B"/>
    <w:rsid w:val="00B275C1"/>
    <w:rsid w:val="00B316D7"/>
    <w:rsid w:val="00B32D3B"/>
    <w:rsid w:val="00B33723"/>
    <w:rsid w:val="00B3699D"/>
    <w:rsid w:val="00B37774"/>
    <w:rsid w:val="00B42737"/>
    <w:rsid w:val="00B50B2F"/>
    <w:rsid w:val="00B5717C"/>
    <w:rsid w:val="00B6048F"/>
    <w:rsid w:val="00B60C22"/>
    <w:rsid w:val="00B63550"/>
    <w:rsid w:val="00B6364C"/>
    <w:rsid w:val="00B6376B"/>
    <w:rsid w:val="00B6522B"/>
    <w:rsid w:val="00B65709"/>
    <w:rsid w:val="00B66ADD"/>
    <w:rsid w:val="00B67DF2"/>
    <w:rsid w:val="00B74F8E"/>
    <w:rsid w:val="00B74FC9"/>
    <w:rsid w:val="00B75C63"/>
    <w:rsid w:val="00B805EC"/>
    <w:rsid w:val="00B84118"/>
    <w:rsid w:val="00B85BF7"/>
    <w:rsid w:val="00B86198"/>
    <w:rsid w:val="00B867ED"/>
    <w:rsid w:val="00B92A0D"/>
    <w:rsid w:val="00B92C28"/>
    <w:rsid w:val="00B935E3"/>
    <w:rsid w:val="00B936EF"/>
    <w:rsid w:val="00B939CC"/>
    <w:rsid w:val="00B96DC1"/>
    <w:rsid w:val="00BA14C3"/>
    <w:rsid w:val="00BA2350"/>
    <w:rsid w:val="00BA4AB3"/>
    <w:rsid w:val="00BA4C93"/>
    <w:rsid w:val="00BA4EE7"/>
    <w:rsid w:val="00BA54D0"/>
    <w:rsid w:val="00BA5EC9"/>
    <w:rsid w:val="00BA708E"/>
    <w:rsid w:val="00BB258C"/>
    <w:rsid w:val="00BB5E38"/>
    <w:rsid w:val="00BC0DBC"/>
    <w:rsid w:val="00BC547B"/>
    <w:rsid w:val="00BC7A32"/>
    <w:rsid w:val="00BD0291"/>
    <w:rsid w:val="00BD4B6C"/>
    <w:rsid w:val="00BD5914"/>
    <w:rsid w:val="00BE1095"/>
    <w:rsid w:val="00BE6027"/>
    <w:rsid w:val="00BF0F80"/>
    <w:rsid w:val="00BF4613"/>
    <w:rsid w:val="00BF60FB"/>
    <w:rsid w:val="00BF66BA"/>
    <w:rsid w:val="00BF70BF"/>
    <w:rsid w:val="00C0014A"/>
    <w:rsid w:val="00C010B6"/>
    <w:rsid w:val="00C03AD1"/>
    <w:rsid w:val="00C04BC7"/>
    <w:rsid w:val="00C0523F"/>
    <w:rsid w:val="00C11421"/>
    <w:rsid w:val="00C11DA4"/>
    <w:rsid w:val="00C12ACE"/>
    <w:rsid w:val="00C12D6C"/>
    <w:rsid w:val="00C13EF2"/>
    <w:rsid w:val="00C14FC0"/>
    <w:rsid w:val="00C214A3"/>
    <w:rsid w:val="00C21A51"/>
    <w:rsid w:val="00C2462B"/>
    <w:rsid w:val="00C24D7F"/>
    <w:rsid w:val="00C3008E"/>
    <w:rsid w:val="00C31141"/>
    <w:rsid w:val="00C32525"/>
    <w:rsid w:val="00C327A7"/>
    <w:rsid w:val="00C34F80"/>
    <w:rsid w:val="00C36BAA"/>
    <w:rsid w:val="00C37933"/>
    <w:rsid w:val="00C40777"/>
    <w:rsid w:val="00C408C7"/>
    <w:rsid w:val="00C42107"/>
    <w:rsid w:val="00C4225A"/>
    <w:rsid w:val="00C43BD5"/>
    <w:rsid w:val="00C44456"/>
    <w:rsid w:val="00C47EEA"/>
    <w:rsid w:val="00C519D0"/>
    <w:rsid w:val="00C568AA"/>
    <w:rsid w:val="00C56967"/>
    <w:rsid w:val="00C600FB"/>
    <w:rsid w:val="00C60C7B"/>
    <w:rsid w:val="00C63F40"/>
    <w:rsid w:val="00C661E6"/>
    <w:rsid w:val="00C67091"/>
    <w:rsid w:val="00C70ACB"/>
    <w:rsid w:val="00C7117E"/>
    <w:rsid w:val="00C72BF8"/>
    <w:rsid w:val="00C74BA1"/>
    <w:rsid w:val="00C92C2C"/>
    <w:rsid w:val="00C95169"/>
    <w:rsid w:val="00CA09CE"/>
    <w:rsid w:val="00CA1A9F"/>
    <w:rsid w:val="00CA39EE"/>
    <w:rsid w:val="00CA4F60"/>
    <w:rsid w:val="00CA4FEC"/>
    <w:rsid w:val="00CA5310"/>
    <w:rsid w:val="00CA7998"/>
    <w:rsid w:val="00CB2777"/>
    <w:rsid w:val="00CC1FD8"/>
    <w:rsid w:val="00CC227F"/>
    <w:rsid w:val="00CC3B21"/>
    <w:rsid w:val="00CC5B3F"/>
    <w:rsid w:val="00CC7C87"/>
    <w:rsid w:val="00CD18C4"/>
    <w:rsid w:val="00CD3B4C"/>
    <w:rsid w:val="00CD4096"/>
    <w:rsid w:val="00CD4FA5"/>
    <w:rsid w:val="00CD6077"/>
    <w:rsid w:val="00CD6247"/>
    <w:rsid w:val="00CD7921"/>
    <w:rsid w:val="00CE084B"/>
    <w:rsid w:val="00CE0A0C"/>
    <w:rsid w:val="00CE23D5"/>
    <w:rsid w:val="00CE3E34"/>
    <w:rsid w:val="00CE513F"/>
    <w:rsid w:val="00CE58A2"/>
    <w:rsid w:val="00CF5FB5"/>
    <w:rsid w:val="00D01452"/>
    <w:rsid w:val="00D028B3"/>
    <w:rsid w:val="00D02D57"/>
    <w:rsid w:val="00D10C1E"/>
    <w:rsid w:val="00D10C88"/>
    <w:rsid w:val="00D118D6"/>
    <w:rsid w:val="00D12E7F"/>
    <w:rsid w:val="00D13C32"/>
    <w:rsid w:val="00D146E8"/>
    <w:rsid w:val="00D14B9E"/>
    <w:rsid w:val="00D15033"/>
    <w:rsid w:val="00D17E2E"/>
    <w:rsid w:val="00D20266"/>
    <w:rsid w:val="00D20C29"/>
    <w:rsid w:val="00D22C9B"/>
    <w:rsid w:val="00D244AB"/>
    <w:rsid w:val="00D26D8C"/>
    <w:rsid w:val="00D33842"/>
    <w:rsid w:val="00D36C78"/>
    <w:rsid w:val="00D37851"/>
    <w:rsid w:val="00D40C3F"/>
    <w:rsid w:val="00D43D99"/>
    <w:rsid w:val="00D44B4F"/>
    <w:rsid w:val="00D467F9"/>
    <w:rsid w:val="00D47915"/>
    <w:rsid w:val="00D5074F"/>
    <w:rsid w:val="00D5170F"/>
    <w:rsid w:val="00D54074"/>
    <w:rsid w:val="00D55E4A"/>
    <w:rsid w:val="00D57D6E"/>
    <w:rsid w:val="00D61404"/>
    <w:rsid w:val="00D61F5A"/>
    <w:rsid w:val="00D63EC5"/>
    <w:rsid w:val="00D6406E"/>
    <w:rsid w:val="00D656C2"/>
    <w:rsid w:val="00D662F4"/>
    <w:rsid w:val="00D6793B"/>
    <w:rsid w:val="00D73060"/>
    <w:rsid w:val="00D73078"/>
    <w:rsid w:val="00D730DA"/>
    <w:rsid w:val="00D74878"/>
    <w:rsid w:val="00D74E96"/>
    <w:rsid w:val="00D82B12"/>
    <w:rsid w:val="00D82E41"/>
    <w:rsid w:val="00D914B0"/>
    <w:rsid w:val="00D91E34"/>
    <w:rsid w:val="00DA18F4"/>
    <w:rsid w:val="00DA2B8C"/>
    <w:rsid w:val="00DA34F2"/>
    <w:rsid w:val="00DA437B"/>
    <w:rsid w:val="00DA4AC1"/>
    <w:rsid w:val="00DA735E"/>
    <w:rsid w:val="00DB39FC"/>
    <w:rsid w:val="00DB4C12"/>
    <w:rsid w:val="00DB5844"/>
    <w:rsid w:val="00DB7DEF"/>
    <w:rsid w:val="00DC1F7C"/>
    <w:rsid w:val="00DC409A"/>
    <w:rsid w:val="00DC423E"/>
    <w:rsid w:val="00DC671B"/>
    <w:rsid w:val="00DD06C6"/>
    <w:rsid w:val="00DD2142"/>
    <w:rsid w:val="00DD2B87"/>
    <w:rsid w:val="00DD3DC4"/>
    <w:rsid w:val="00DD4072"/>
    <w:rsid w:val="00DD5579"/>
    <w:rsid w:val="00DD729A"/>
    <w:rsid w:val="00DE4E17"/>
    <w:rsid w:val="00DE7FAC"/>
    <w:rsid w:val="00DF0C03"/>
    <w:rsid w:val="00DF69A3"/>
    <w:rsid w:val="00E0081E"/>
    <w:rsid w:val="00E02094"/>
    <w:rsid w:val="00E10F4C"/>
    <w:rsid w:val="00E13322"/>
    <w:rsid w:val="00E155B4"/>
    <w:rsid w:val="00E15B34"/>
    <w:rsid w:val="00E15E29"/>
    <w:rsid w:val="00E16D6D"/>
    <w:rsid w:val="00E20570"/>
    <w:rsid w:val="00E22B69"/>
    <w:rsid w:val="00E2371F"/>
    <w:rsid w:val="00E2419F"/>
    <w:rsid w:val="00E24E47"/>
    <w:rsid w:val="00E259F9"/>
    <w:rsid w:val="00E267A9"/>
    <w:rsid w:val="00E35934"/>
    <w:rsid w:val="00E366D6"/>
    <w:rsid w:val="00E40963"/>
    <w:rsid w:val="00E42477"/>
    <w:rsid w:val="00E427A4"/>
    <w:rsid w:val="00E44294"/>
    <w:rsid w:val="00E44403"/>
    <w:rsid w:val="00E452F1"/>
    <w:rsid w:val="00E45B17"/>
    <w:rsid w:val="00E45FD1"/>
    <w:rsid w:val="00E46958"/>
    <w:rsid w:val="00E5016E"/>
    <w:rsid w:val="00E529EC"/>
    <w:rsid w:val="00E53029"/>
    <w:rsid w:val="00E53354"/>
    <w:rsid w:val="00E5482D"/>
    <w:rsid w:val="00E578BF"/>
    <w:rsid w:val="00E618C6"/>
    <w:rsid w:val="00E63D8B"/>
    <w:rsid w:val="00E651B2"/>
    <w:rsid w:val="00E658C0"/>
    <w:rsid w:val="00E70B72"/>
    <w:rsid w:val="00E70CD4"/>
    <w:rsid w:val="00E7254F"/>
    <w:rsid w:val="00E75661"/>
    <w:rsid w:val="00E81F4B"/>
    <w:rsid w:val="00E851B9"/>
    <w:rsid w:val="00E86D79"/>
    <w:rsid w:val="00E91797"/>
    <w:rsid w:val="00EA087D"/>
    <w:rsid w:val="00EA11BE"/>
    <w:rsid w:val="00EA2FDB"/>
    <w:rsid w:val="00EA3463"/>
    <w:rsid w:val="00EA3699"/>
    <w:rsid w:val="00EA52F5"/>
    <w:rsid w:val="00EC644A"/>
    <w:rsid w:val="00EC6A3F"/>
    <w:rsid w:val="00ED2360"/>
    <w:rsid w:val="00ED3CAE"/>
    <w:rsid w:val="00ED5FE0"/>
    <w:rsid w:val="00ED7DB7"/>
    <w:rsid w:val="00EE2403"/>
    <w:rsid w:val="00EE3086"/>
    <w:rsid w:val="00EE60D1"/>
    <w:rsid w:val="00EE6333"/>
    <w:rsid w:val="00EF07BD"/>
    <w:rsid w:val="00EF1633"/>
    <w:rsid w:val="00EF3769"/>
    <w:rsid w:val="00EF4BDC"/>
    <w:rsid w:val="00EF5BA6"/>
    <w:rsid w:val="00F00491"/>
    <w:rsid w:val="00F01526"/>
    <w:rsid w:val="00F03320"/>
    <w:rsid w:val="00F05F1E"/>
    <w:rsid w:val="00F06D32"/>
    <w:rsid w:val="00F11A9A"/>
    <w:rsid w:val="00F16D71"/>
    <w:rsid w:val="00F17760"/>
    <w:rsid w:val="00F24BFD"/>
    <w:rsid w:val="00F27A3C"/>
    <w:rsid w:val="00F30554"/>
    <w:rsid w:val="00F33853"/>
    <w:rsid w:val="00F33911"/>
    <w:rsid w:val="00F348D2"/>
    <w:rsid w:val="00F41A3C"/>
    <w:rsid w:val="00F4485F"/>
    <w:rsid w:val="00F44B6A"/>
    <w:rsid w:val="00F46C7D"/>
    <w:rsid w:val="00F4718C"/>
    <w:rsid w:val="00F50A98"/>
    <w:rsid w:val="00F521C7"/>
    <w:rsid w:val="00F54C7A"/>
    <w:rsid w:val="00F6080C"/>
    <w:rsid w:val="00F60BF8"/>
    <w:rsid w:val="00F62100"/>
    <w:rsid w:val="00F62BD0"/>
    <w:rsid w:val="00F62F89"/>
    <w:rsid w:val="00F64494"/>
    <w:rsid w:val="00F64863"/>
    <w:rsid w:val="00F6615B"/>
    <w:rsid w:val="00F71B49"/>
    <w:rsid w:val="00F74F2F"/>
    <w:rsid w:val="00F80C89"/>
    <w:rsid w:val="00F84D72"/>
    <w:rsid w:val="00F8782E"/>
    <w:rsid w:val="00F9133C"/>
    <w:rsid w:val="00F921CC"/>
    <w:rsid w:val="00F960C1"/>
    <w:rsid w:val="00F96392"/>
    <w:rsid w:val="00F96419"/>
    <w:rsid w:val="00FA0235"/>
    <w:rsid w:val="00FA0331"/>
    <w:rsid w:val="00FA12A4"/>
    <w:rsid w:val="00FA4FED"/>
    <w:rsid w:val="00FA57BB"/>
    <w:rsid w:val="00FA5C5F"/>
    <w:rsid w:val="00FB0092"/>
    <w:rsid w:val="00FB30BD"/>
    <w:rsid w:val="00FB4990"/>
    <w:rsid w:val="00FC049C"/>
    <w:rsid w:val="00FC1C0E"/>
    <w:rsid w:val="00FC2E11"/>
    <w:rsid w:val="00FC56F7"/>
    <w:rsid w:val="00FC5ED8"/>
    <w:rsid w:val="00FC6310"/>
    <w:rsid w:val="00FC7F7C"/>
    <w:rsid w:val="00FD1221"/>
    <w:rsid w:val="00FD3A3E"/>
    <w:rsid w:val="00FD45FE"/>
    <w:rsid w:val="00FD76EB"/>
    <w:rsid w:val="00FE5470"/>
    <w:rsid w:val="00FE60BB"/>
    <w:rsid w:val="00FE7858"/>
    <w:rsid w:val="00FF1E41"/>
    <w:rsid w:val="00FF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B23ECFC"/>
  <w15:docId w15:val="{C30742CA-C883-4311-86E6-C1ADA485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E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uiPriority w:val="99"/>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uiPriority w:val="39"/>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 w:type="character" w:styleId="Hyperlink">
    <w:name w:val="Hyperlink"/>
    <w:basedOn w:val="DefaultParagraphFont"/>
    <w:rsid w:val="003038C0"/>
    <w:rPr>
      <w:color w:val="0000FF" w:themeColor="hyperlink"/>
      <w:u w:val="single"/>
    </w:rPr>
  </w:style>
  <w:style w:type="character" w:customStyle="1" w:styleId="HeaderChar">
    <w:name w:val="Header Char"/>
    <w:basedOn w:val="DefaultParagraphFont"/>
    <w:link w:val="Header"/>
    <w:uiPriority w:val="99"/>
    <w:rsid w:val="00A51F32"/>
    <w:rPr>
      <w:rFonts w:ascii="Arial" w:hAnsi="Arial"/>
      <w:sz w:val="24"/>
      <w:lang w:eastAsia="en-US"/>
    </w:rPr>
  </w:style>
  <w:style w:type="paragraph" w:styleId="ListBullet">
    <w:name w:val="List Bullet"/>
    <w:basedOn w:val="List"/>
    <w:uiPriority w:val="1"/>
    <w:qFormat/>
    <w:rsid w:val="00B33723"/>
    <w:pPr>
      <w:widowControl/>
      <w:numPr>
        <w:numId w:val="5"/>
      </w:numPr>
      <w:tabs>
        <w:tab w:val="clear" w:pos="360"/>
        <w:tab w:val="num" w:pos="720"/>
      </w:tabs>
      <w:overflowPunct/>
      <w:autoSpaceDE/>
      <w:autoSpaceDN/>
      <w:adjustRightInd/>
      <w:spacing w:before="120" w:after="120" w:line="276" w:lineRule="auto"/>
      <w:ind w:left="357" w:hanging="357"/>
      <w:contextualSpacing w:val="0"/>
      <w:textAlignment w:val="auto"/>
    </w:pPr>
    <w:rPr>
      <w:rFonts w:asciiTheme="minorHAnsi" w:eastAsiaTheme="minorHAnsi" w:hAnsiTheme="minorHAnsi" w:cs="Arial"/>
      <w:color w:val="111111"/>
      <w:sz w:val="22"/>
      <w:lang w:val="en-US"/>
    </w:rPr>
  </w:style>
  <w:style w:type="paragraph" w:styleId="List">
    <w:name w:val="List"/>
    <w:basedOn w:val="Normal"/>
    <w:semiHidden/>
    <w:unhideWhenUsed/>
    <w:rsid w:val="00B33723"/>
    <w:pPr>
      <w:ind w:left="283" w:hanging="283"/>
      <w:contextualSpacing/>
    </w:pPr>
  </w:style>
  <w:style w:type="paragraph" w:customStyle="1" w:styleId="Body">
    <w:name w:val="Body"/>
    <w:basedOn w:val="Normal"/>
    <w:link w:val="BodyChar"/>
    <w:rsid w:val="00570E0A"/>
    <w:pPr>
      <w:widowControl/>
      <w:overflowPunct/>
      <w:autoSpaceDE/>
      <w:autoSpaceDN/>
      <w:adjustRightInd/>
      <w:spacing w:after="240"/>
      <w:jc w:val="both"/>
      <w:textAlignment w:val="auto"/>
    </w:pPr>
    <w:rPr>
      <w:rFonts w:cs="Arial"/>
      <w:sz w:val="20"/>
      <w:lang w:eastAsia="en-GB"/>
    </w:rPr>
  </w:style>
  <w:style w:type="character" w:customStyle="1" w:styleId="BodyChar">
    <w:name w:val="Body Char"/>
    <w:basedOn w:val="DefaultParagraphFont"/>
    <w:link w:val="Body"/>
    <w:locked/>
    <w:rsid w:val="00570E0A"/>
    <w:rPr>
      <w:rFonts w:ascii="Arial" w:hAnsi="Arial" w:cs="Arial"/>
    </w:rPr>
  </w:style>
  <w:style w:type="paragraph" w:customStyle="1" w:styleId="Default">
    <w:name w:val="Default"/>
    <w:rsid w:val="00570E0A"/>
    <w:pPr>
      <w:autoSpaceDE w:val="0"/>
      <w:autoSpaceDN w:val="0"/>
      <w:adjustRightInd w:val="0"/>
    </w:pPr>
    <w:rPr>
      <w:rFonts w:ascii="Calibri" w:eastAsiaTheme="minorHAnsi" w:hAnsi="Calibri" w:cs="Calibri"/>
      <w:color w:val="000000"/>
      <w:sz w:val="24"/>
      <w:szCs w:val="24"/>
      <w:lang w:eastAsia="en-US"/>
    </w:rPr>
  </w:style>
  <w:style w:type="table" w:customStyle="1" w:styleId="TableGrid0">
    <w:name w:val="TableGrid"/>
    <w:rsid w:val="00AC7D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EA3699"/>
    <w:rPr>
      <w:rFonts w:ascii="Arial" w:hAnsi="Arial"/>
      <w:sz w:val="24"/>
      <w:lang w:eastAsia="en-US"/>
    </w:rPr>
  </w:style>
  <w:style w:type="paragraph" w:styleId="NormalWeb">
    <w:name w:val="Normal (Web)"/>
    <w:basedOn w:val="Normal"/>
    <w:uiPriority w:val="99"/>
    <w:unhideWhenUsed/>
    <w:rsid w:val="00123E5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DfESOutNumberedChar">
    <w:name w:val="DfESOutNumbered Char"/>
    <w:basedOn w:val="DefaultParagraphFont"/>
    <w:link w:val="DfESOutNumbered"/>
    <w:uiPriority w:val="99"/>
    <w:locked/>
    <w:rsid w:val="00123E5A"/>
    <w:rPr>
      <w:rFonts w:ascii="Arial" w:hAnsi="Arial" w:cs="Arial"/>
      <w:sz w:val="22"/>
      <w:lang w:eastAsia="en-US"/>
    </w:rPr>
  </w:style>
  <w:style w:type="character" w:customStyle="1" w:styleId="Heading3Char">
    <w:name w:val="Heading 3 Char"/>
    <w:aliases w:val="Numbered - 3 Char"/>
    <w:basedOn w:val="DefaultParagraphFont"/>
    <w:link w:val="Heading3"/>
    <w:rsid w:val="006A16A6"/>
    <w:rPr>
      <w:rFonts w:ascii="Arial" w:hAnsi="Arial"/>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83">
      <w:bodyDiv w:val="1"/>
      <w:marLeft w:val="0"/>
      <w:marRight w:val="0"/>
      <w:marTop w:val="0"/>
      <w:marBottom w:val="0"/>
      <w:divBdr>
        <w:top w:val="none" w:sz="0" w:space="0" w:color="auto"/>
        <w:left w:val="none" w:sz="0" w:space="0" w:color="auto"/>
        <w:bottom w:val="none" w:sz="0" w:space="0" w:color="auto"/>
        <w:right w:val="none" w:sz="0" w:space="0" w:color="auto"/>
      </w:divBdr>
    </w:div>
    <w:div w:id="33047711">
      <w:bodyDiv w:val="1"/>
      <w:marLeft w:val="0"/>
      <w:marRight w:val="0"/>
      <w:marTop w:val="0"/>
      <w:marBottom w:val="0"/>
      <w:divBdr>
        <w:top w:val="none" w:sz="0" w:space="0" w:color="auto"/>
        <w:left w:val="none" w:sz="0" w:space="0" w:color="auto"/>
        <w:bottom w:val="none" w:sz="0" w:space="0" w:color="auto"/>
        <w:right w:val="none" w:sz="0" w:space="0" w:color="auto"/>
      </w:divBdr>
    </w:div>
    <w:div w:id="67850597">
      <w:bodyDiv w:val="1"/>
      <w:marLeft w:val="0"/>
      <w:marRight w:val="0"/>
      <w:marTop w:val="0"/>
      <w:marBottom w:val="0"/>
      <w:divBdr>
        <w:top w:val="none" w:sz="0" w:space="0" w:color="auto"/>
        <w:left w:val="none" w:sz="0" w:space="0" w:color="auto"/>
        <w:bottom w:val="none" w:sz="0" w:space="0" w:color="auto"/>
        <w:right w:val="none" w:sz="0" w:space="0" w:color="auto"/>
      </w:divBdr>
    </w:div>
    <w:div w:id="69351333">
      <w:bodyDiv w:val="1"/>
      <w:marLeft w:val="0"/>
      <w:marRight w:val="0"/>
      <w:marTop w:val="0"/>
      <w:marBottom w:val="0"/>
      <w:divBdr>
        <w:top w:val="none" w:sz="0" w:space="0" w:color="auto"/>
        <w:left w:val="none" w:sz="0" w:space="0" w:color="auto"/>
        <w:bottom w:val="none" w:sz="0" w:space="0" w:color="auto"/>
        <w:right w:val="none" w:sz="0" w:space="0" w:color="auto"/>
      </w:divBdr>
    </w:div>
    <w:div w:id="74589956">
      <w:bodyDiv w:val="1"/>
      <w:marLeft w:val="0"/>
      <w:marRight w:val="0"/>
      <w:marTop w:val="0"/>
      <w:marBottom w:val="0"/>
      <w:divBdr>
        <w:top w:val="none" w:sz="0" w:space="0" w:color="auto"/>
        <w:left w:val="none" w:sz="0" w:space="0" w:color="auto"/>
        <w:bottom w:val="none" w:sz="0" w:space="0" w:color="auto"/>
        <w:right w:val="none" w:sz="0" w:space="0" w:color="auto"/>
      </w:divBdr>
    </w:div>
    <w:div w:id="131796314">
      <w:bodyDiv w:val="1"/>
      <w:marLeft w:val="0"/>
      <w:marRight w:val="0"/>
      <w:marTop w:val="0"/>
      <w:marBottom w:val="0"/>
      <w:divBdr>
        <w:top w:val="none" w:sz="0" w:space="0" w:color="auto"/>
        <w:left w:val="none" w:sz="0" w:space="0" w:color="auto"/>
        <w:bottom w:val="none" w:sz="0" w:space="0" w:color="auto"/>
        <w:right w:val="none" w:sz="0" w:space="0" w:color="auto"/>
      </w:divBdr>
    </w:div>
    <w:div w:id="287009711">
      <w:bodyDiv w:val="1"/>
      <w:marLeft w:val="0"/>
      <w:marRight w:val="0"/>
      <w:marTop w:val="0"/>
      <w:marBottom w:val="0"/>
      <w:divBdr>
        <w:top w:val="none" w:sz="0" w:space="0" w:color="auto"/>
        <w:left w:val="none" w:sz="0" w:space="0" w:color="auto"/>
        <w:bottom w:val="none" w:sz="0" w:space="0" w:color="auto"/>
        <w:right w:val="none" w:sz="0" w:space="0" w:color="auto"/>
      </w:divBdr>
    </w:div>
    <w:div w:id="366682089">
      <w:bodyDiv w:val="1"/>
      <w:marLeft w:val="0"/>
      <w:marRight w:val="0"/>
      <w:marTop w:val="0"/>
      <w:marBottom w:val="0"/>
      <w:divBdr>
        <w:top w:val="none" w:sz="0" w:space="0" w:color="auto"/>
        <w:left w:val="none" w:sz="0" w:space="0" w:color="auto"/>
        <w:bottom w:val="none" w:sz="0" w:space="0" w:color="auto"/>
        <w:right w:val="none" w:sz="0" w:space="0" w:color="auto"/>
      </w:divBdr>
    </w:div>
    <w:div w:id="519976520">
      <w:bodyDiv w:val="1"/>
      <w:marLeft w:val="0"/>
      <w:marRight w:val="0"/>
      <w:marTop w:val="0"/>
      <w:marBottom w:val="0"/>
      <w:divBdr>
        <w:top w:val="none" w:sz="0" w:space="0" w:color="auto"/>
        <w:left w:val="none" w:sz="0" w:space="0" w:color="auto"/>
        <w:bottom w:val="none" w:sz="0" w:space="0" w:color="auto"/>
        <w:right w:val="none" w:sz="0" w:space="0" w:color="auto"/>
      </w:divBdr>
    </w:div>
    <w:div w:id="549728642">
      <w:bodyDiv w:val="1"/>
      <w:marLeft w:val="0"/>
      <w:marRight w:val="0"/>
      <w:marTop w:val="0"/>
      <w:marBottom w:val="0"/>
      <w:divBdr>
        <w:top w:val="none" w:sz="0" w:space="0" w:color="auto"/>
        <w:left w:val="none" w:sz="0" w:space="0" w:color="auto"/>
        <w:bottom w:val="none" w:sz="0" w:space="0" w:color="auto"/>
        <w:right w:val="none" w:sz="0" w:space="0" w:color="auto"/>
      </w:divBdr>
    </w:div>
    <w:div w:id="1056709147">
      <w:bodyDiv w:val="1"/>
      <w:marLeft w:val="0"/>
      <w:marRight w:val="0"/>
      <w:marTop w:val="0"/>
      <w:marBottom w:val="0"/>
      <w:divBdr>
        <w:top w:val="none" w:sz="0" w:space="0" w:color="auto"/>
        <w:left w:val="none" w:sz="0" w:space="0" w:color="auto"/>
        <w:bottom w:val="none" w:sz="0" w:space="0" w:color="auto"/>
        <w:right w:val="none" w:sz="0" w:space="0" w:color="auto"/>
      </w:divBdr>
    </w:div>
    <w:div w:id="1127241691">
      <w:bodyDiv w:val="1"/>
      <w:marLeft w:val="0"/>
      <w:marRight w:val="0"/>
      <w:marTop w:val="0"/>
      <w:marBottom w:val="0"/>
      <w:divBdr>
        <w:top w:val="none" w:sz="0" w:space="0" w:color="auto"/>
        <w:left w:val="none" w:sz="0" w:space="0" w:color="auto"/>
        <w:bottom w:val="none" w:sz="0" w:space="0" w:color="auto"/>
        <w:right w:val="none" w:sz="0" w:space="0" w:color="auto"/>
      </w:divBdr>
    </w:div>
    <w:div w:id="1246957674">
      <w:bodyDiv w:val="1"/>
      <w:marLeft w:val="0"/>
      <w:marRight w:val="0"/>
      <w:marTop w:val="0"/>
      <w:marBottom w:val="0"/>
      <w:divBdr>
        <w:top w:val="none" w:sz="0" w:space="0" w:color="auto"/>
        <w:left w:val="none" w:sz="0" w:space="0" w:color="auto"/>
        <w:bottom w:val="none" w:sz="0" w:space="0" w:color="auto"/>
        <w:right w:val="none" w:sz="0" w:space="0" w:color="auto"/>
      </w:divBdr>
    </w:div>
    <w:div w:id="1277710999">
      <w:bodyDiv w:val="1"/>
      <w:marLeft w:val="0"/>
      <w:marRight w:val="0"/>
      <w:marTop w:val="0"/>
      <w:marBottom w:val="0"/>
      <w:divBdr>
        <w:top w:val="none" w:sz="0" w:space="0" w:color="auto"/>
        <w:left w:val="none" w:sz="0" w:space="0" w:color="auto"/>
        <w:bottom w:val="none" w:sz="0" w:space="0" w:color="auto"/>
        <w:right w:val="none" w:sz="0" w:space="0" w:color="auto"/>
      </w:divBdr>
    </w:div>
    <w:div w:id="1280336764">
      <w:bodyDiv w:val="1"/>
      <w:marLeft w:val="0"/>
      <w:marRight w:val="0"/>
      <w:marTop w:val="0"/>
      <w:marBottom w:val="0"/>
      <w:divBdr>
        <w:top w:val="none" w:sz="0" w:space="0" w:color="auto"/>
        <w:left w:val="none" w:sz="0" w:space="0" w:color="auto"/>
        <w:bottom w:val="none" w:sz="0" w:space="0" w:color="auto"/>
        <w:right w:val="none" w:sz="0" w:space="0" w:color="auto"/>
      </w:divBdr>
    </w:div>
    <w:div w:id="1336493228">
      <w:bodyDiv w:val="1"/>
      <w:marLeft w:val="0"/>
      <w:marRight w:val="0"/>
      <w:marTop w:val="0"/>
      <w:marBottom w:val="0"/>
      <w:divBdr>
        <w:top w:val="none" w:sz="0" w:space="0" w:color="auto"/>
        <w:left w:val="none" w:sz="0" w:space="0" w:color="auto"/>
        <w:bottom w:val="none" w:sz="0" w:space="0" w:color="auto"/>
        <w:right w:val="none" w:sz="0" w:space="0" w:color="auto"/>
      </w:divBdr>
    </w:div>
    <w:div w:id="1387921457">
      <w:bodyDiv w:val="1"/>
      <w:marLeft w:val="0"/>
      <w:marRight w:val="0"/>
      <w:marTop w:val="0"/>
      <w:marBottom w:val="0"/>
      <w:divBdr>
        <w:top w:val="none" w:sz="0" w:space="0" w:color="auto"/>
        <w:left w:val="none" w:sz="0" w:space="0" w:color="auto"/>
        <w:bottom w:val="none" w:sz="0" w:space="0" w:color="auto"/>
        <w:right w:val="none" w:sz="0" w:space="0" w:color="auto"/>
      </w:divBdr>
    </w:div>
    <w:div w:id="1392850248">
      <w:bodyDiv w:val="1"/>
      <w:marLeft w:val="0"/>
      <w:marRight w:val="0"/>
      <w:marTop w:val="0"/>
      <w:marBottom w:val="0"/>
      <w:divBdr>
        <w:top w:val="none" w:sz="0" w:space="0" w:color="auto"/>
        <w:left w:val="none" w:sz="0" w:space="0" w:color="auto"/>
        <w:bottom w:val="none" w:sz="0" w:space="0" w:color="auto"/>
        <w:right w:val="none" w:sz="0" w:space="0" w:color="auto"/>
      </w:divBdr>
    </w:div>
    <w:div w:id="1403872984">
      <w:bodyDiv w:val="1"/>
      <w:marLeft w:val="0"/>
      <w:marRight w:val="0"/>
      <w:marTop w:val="0"/>
      <w:marBottom w:val="0"/>
      <w:divBdr>
        <w:top w:val="none" w:sz="0" w:space="0" w:color="auto"/>
        <w:left w:val="none" w:sz="0" w:space="0" w:color="auto"/>
        <w:bottom w:val="none" w:sz="0" w:space="0" w:color="auto"/>
        <w:right w:val="none" w:sz="0" w:space="0" w:color="auto"/>
      </w:divBdr>
    </w:div>
    <w:div w:id="1418136281">
      <w:bodyDiv w:val="1"/>
      <w:marLeft w:val="0"/>
      <w:marRight w:val="0"/>
      <w:marTop w:val="0"/>
      <w:marBottom w:val="0"/>
      <w:divBdr>
        <w:top w:val="none" w:sz="0" w:space="0" w:color="auto"/>
        <w:left w:val="none" w:sz="0" w:space="0" w:color="auto"/>
        <w:bottom w:val="none" w:sz="0" w:space="0" w:color="auto"/>
        <w:right w:val="none" w:sz="0" w:space="0" w:color="auto"/>
      </w:divBdr>
    </w:div>
    <w:div w:id="1526671675">
      <w:bodyDiv w:val="1"/>
      <w:marLeft w:val="0"/>
      <w:marRight w:val="0"/>
      <w:marTop w:val="0"/>
      <w:marBottom w:val="0"/>
      <w:divBdr>
        <w:top w:val="none" w:sz="0" w:space="0" w:color="auto"/>
        <w:left w:val="none" w:sz="0" w:space="0" w:color="auto"/>
        <w:bottom w:val="none" w:sz="0" w:space="0" w:color="auto"/>
        <w:right w:val="none" w:sz="0" w:space="0" w:color="auto"/>
      </w:divBdr>
    </w:div>
    <w:div w:id="1869836296">
      <w:bodyDiv w:val="1"/>
      <w:marLeft w:val="0"/>
      <w:marRight w:val="0"/>
      <w:marTop w:val="0"/>
      <w:marBottom w:val="0"/>
      <w:divBdr>
        <w:top w:val="none" w:sz="0" w:space="0" w:color="auto"/>
        <w:left w:val="none" w:sz="0" w:space="0" w:color="auto"/>
        <w:bottom w:val="none" w:sz="0" w:space="0" w:color="auto"/>
        <w:right w:val="none" w:sz="0" w:space="0" w:color="auto"/>
      </w:divBdr>
    </w:div>
    <w:div w:id="1902910793">
      <w:bodyDiv w:val="1"/>
      <w:marLeft w:val="0"/>
      <w:marRight w:val="0"/>
      <w:marTop w:val="0"/>
      <w:marBottom w:val="0"/>
      <w:divBdr>
        <w:top w:val="none" w:sz="0" w:space="0" w:color="auto"/>
        <w:left w:val="none" w:sz="0" w:space="0" w:color="auto"/>
        <w:bottom w:val="none" w:sz="0" w:space="0" w:color="auto"/>
        <w:right w:val="none" w:sz="0" w:space="0" w:color="auto"/>
      </w:divBdr>
    </w:div>
    <w:div w:id="1943801694">
      <w:bodyDiv w:val="1"/>
      <w:marLeft w:val="0"/>
      <w:marRight w:val="0"/>
      <w:marTop w:val="0"/>
      <w:marBottom w:val="0"/>
      <w:divBdr>
        <w:top w:val="none" w:sz="0" w:space="0" w:color="auto"/>
        <w:left w:val="none" w:sz="0" w:space="0" w:color="auto"/>
        <w:bottom w:val="none" w:sz="0" w:space="0" w:color="auto"/>
        <w:right w:val="none" w:sz="0" w:space="0" w:color="auto"/>
      </w:divBdr>
    </w:div>
    <w:div w:id="1981684817">
      <w:bodyDiv w:val="1"/>
      <w:marLeft w:val="0"/>
      <w:marRight w:val="0"/>
      <w:marTop w:val="0"/>
      <w:marBottom w:val="0"/>
      <w:divBdr>
        <w:top w:val="none" w:sz="0" w:space="0" w:color="auto"/>
        <w:left w:val="none" w:sz="0" w:space="0" w:color="auto"/>
        <w:bottom w:val="none" w:sz="0" w:space="0" w:color="auto"/>
        <w:right w:val="none" w:sz="0" w:space="0" w:color="auto"/>
      </w:divBdr>
    </w:div>
    <w:div w:id="1995184227">
      <w:bodyDiv w:val="1"/>
      <w:marLeft w:val="0"/>
      <w:marRight w:val="0"/>
      <w:marTop w:val="0"/>
      <w:marBottom w:val="0"/>
      <w:divBdr>
        <w:top w:val="none" w:sz="0" w:space="0" w:color="auto"/>
        <w:left w:val="none" w:sz="0" w:space="0" w:color="auto"/>
        <w:bottom w:val="none" w:sz="0" w:space="0" w:color="auto"/>
        <w:right w:val="none" w:sz="0" w:space="0" w:color="auto"/>
      </w:divBdr>
    </w:div>
    <w:div w:id="2037731090">
      <w:bodyDiv w:val="1"/>
      <w:marLeft w:val="0"/>
      <w:marRight w:val="0"/>
      <w:marTop w:val="0"/>
      <w:marBottom w:val="0"/>
      <w:divBdr>
        <w:top w:val="none" w:sz="0" w:space="0" w:color="auto"/>
        <w:left w:val="none" w:sz="0" w:space="0" w:color="auto"/>
        <w:bottom w:val="none" w:sz="0" w:space="0" w:color="auto"/>
        <w:right w:val="none" w:sz="0" w:space="0" w:color="auto"/>
      </w:divBdr>
    </w:div>
    <w:div w:id="2048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7.png@01D39E78.F0785B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2.jpg@01D3A1AA.8C27D7D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9.jpg@01D3A197.B8A9684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2</Value>
      <Value>1</Value>
    </TaxCatchAll>
    <_dlc_DocId xmlns="4259d123-e6a2-4a39-9cc4-e247171b8278">HKPH4XM4QHZ4-1883831546-49296</_dlc_DocId>
    <_dlc_DocIdUrl xmlns="4259d123-e6a2-4a39-9cc4-e247171b8278">
      <Url>https://educationgovuk.sharepoint.com/sites/ttg/d/_layouts/15/DocIdRedir.aspx?ID=HKPH4XM4QHZ4-1883831546-49296</Url>
      <Description>HKPH4XM4QHZ4-1883831546-49296</Description>
    </_dlc_DocIdUrl>
    <fcfa2e3a102f492eb9989c5396408ed9 xmlns="4259d123-e6a2-4a39-9cc4-e247171b8278">
      <Terms xmlns="http://schemas.microsoft.com/office/infopath/2007/PartnerControls"/>
    </fcfa2e3a102f492eb9989c5396408ed9>
    <TaxCatchAllLabel xmlns="4259d123-e6a2-4a39-9cc4-e247171b8278"/>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3D8DE97B5F6A5E4385284C1FFBEDADD6100057B28370F4C617408F14186513953334" ma:contentTypeVersion="35" ma:contentTypeDescription="For working documents that do not need to be declared as records.  Will be deleted two years after last modified date." ma:contentTypeScope="" ma:versionID="119f442003ad93ae2ac074d52a8aef6e">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xmlns:ns5="85e614bd-c63a-494a-9bb2-aa5e0a4205f1" targetNamespace="http://schemas.microsoft.com/office/2006/metadata/properties" ma:root="true" ma:fieldsID="39d4616ad212815a381b1c580d6e1e58" ns1:_="" ns2:_="" ns3:_="" ns4:_="" ns5:_="">
    <xsd:import namespace="http://schemas.microsoft.com/sharepoint/v3"/>
    <xsd:import namespace="4259d123-e6a2-4a39-9cc4-e247171b8278"/>
    <xsd:import namespace="01d2705b-266c-471f-bbad-ca9cc3733704"/>
    <xsd:import namespace="9f3f92a8-473c-4608-bac3-6eb86d935198"/>
    <xsd:import namespace="85e614bd-c63a-494a-9bb2-aa5e0a4205f1"/>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3:IWPContributor" minOccurs="0"/>
                <xsd:element ref="ns4:h5181134883947a99a38d116ffff0102" minOccurs="0"/>
                <xsd:element ref="ns4:h5181134883947a99a38d116ffff0006" minOccurs="0"/>
                <xsd:element ref="ns5:SharedWithUsers"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614bd-c63a-494a-9bb2-aa5e0a4205f1"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EB68-3F08-4D92-B797-3B9A04691772}">
  <ds:schemaRefs>
    <ds:schemaRef ds:uri="http://schemas.microsoft.com/sharepoint/v3/contenttype/forms"/>
  </ds:schemaRefs>
</ds:datastoreItem>
</file>

<file path=customXml/itemProps2.xml><?xml version="1.0" encoding="utf-8"?>
<ds:datastoreItem xmlns:ds="http://schemas.openxmlformats.org/officeDocument/2006/customXml" ds:itemID="{9818BF90-8498-4A9B-B138-4920C5221B38}">
  <ds:schemaRefs>
    <ds:schemaRef ds:uri="http://purl.org/dc/elements/1.1/"/>
    <ds:schemaRef ds:uri="http://schemas.microsoft.com/office/2006/metadata/properties"/>
    <ds:schemaRef ds:uri="4259d123-e6a2-4a39-9cc4-e247171b8278"/>
    <ds:schemaRef ds:uri="http://schemas.microsoft.com/sharepoint/v3"/>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85e614bd-c63a-494a-9bb2-aa5e0a4205f1"/>
    <ds:schemaRef ds:uri="01d2705b-266c-471f-bbad-ca9cc3733704"/>
    <ds:schemaRef ds:uri="http://www.w3.org/XML/1998/namespace"/>
    <ds:schemaRef ds:uri="http://purl.org/dc/dcmitype/"/>
  </ds:schemaRefs>
</ds:datastoreItem>
</file>

<file path=customXml/itemProps3.xml><?xml version="1.0" encoding="utf-8"?>
<ds:datastoreItem xmlns:ds="http://schemas.openxmlformats.org/officeDocument/2006/customXml" ds:itemID="{DB8D43B7-F098-4BFC-B8FA-715B6B29AF49}">
  <ds:schemaRefs>
    <ds:schemaRef ds:uri="http://schemas.microsoft.com/sharepoint/events"/>
  </ds:schemaRefs>
</ds:datastoreItem>
</file>

<file path=customXml/itemProps4.xml><?xml version="1.0" encoding="utf-8"?>
<ds:datastoreItem xmlns:ds="http://schemas.openxmlformats.org/officeDocument/2006/customXml" ds:itemID="{D20D3EE9-5F65-434C-B883-18592242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85e614bd-c63a-494a-9bb2-aa5e0a420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9A7945-2BB0-4EB2-A1A0-4446473F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v3 JR QA and amends</vt:lpstr>
    </vt:vector>
  </TitlesOfParts>
  <Company>Employee Benefits</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v3 JR QA and amends</dc:title>
  <dc:creator>LEES, Richard</dc:creator>
  <cp:lastModifiedBy>CAMMACK, Karen</cp:lastModifiedBy>
  <cp:revision>2</cp:revision>
  <cp:lastPrinted>2017-08-23T14:53:00Z</cp:lastPrinted>
  <dcterms:created xsi:type="dcterms:W3CDTF">2018-04-11T09:22:00Z</dcterms:created>
  <dcterms:modified xsi:type="dcterms:W3CDTF">2018-04-11T09:22:00Z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0x0101003D8DE97B5F6A5E4385284C1FFBEDADD6100057B28370F4C617408F14186513953334</vt:lpwstr>
  </property>
  <property fmtid="{D5CDD505-2E9C-101B-9397-08002B2CF9AE}" pid="3" name="IWPOrganisationalUnit">
    <vt:lpwstr>2;#DfE|cc08a6d4-dfde-4d0f-bd85-069ebcef80d5</vt:lpwstr>
  </property>
  <property fmtid="{D5CDD505-2E9C-101B-9397-08002B2CF9AE}" pid="4" name="IWPOwner">
    <vt:lpwstr>3;#DfE|a484111e-5b24-4ad9-9778-c536c8c88985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_dlc_DocIdItemGuid">
    <vt:lpwstr>a36ef7ff-69dd-43b8-9220-6c773338abcb</vt:lpwstr>
  </property>
</Properties>
</file>